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42"/>
        <w:rPr>
          <w:rFonts w:cs="Times New Roman"/>
        </w:rPr>
      </w:pPr>
    </w:p>
    <w:p>
      <w:pPr>
        <w:pStyle w:val="42"/>
        <w:rPr>
          <w:rFonts w:cs="Times New Roman"/>
        </w:rPr>
      </w:pPr>
    </w:p>
    <w:p>
      <w:pPr>
        <w:pStyle w:val="42"/>
        <w:ind w:firstLine="0" w:firstLineChars="0"/>
        <w:rPr>
          <w:rFonts w:cs="Times New Roman"/>
        </w:rPr>
      </w:pPr>
    </w:p>
    <w:p>
      <w:pPr>
        <w:pStyle w:val="51"/>
        <w:rPr>
          <w:rFonts w:ascii="Times New Roman" w:hAnsi="Times New Roman" w:cs="Times New Roman"/>
          <w:sz w:val="60"/>
          <w:szCs w:val="60"/>
        </w:rPr>
      </w:pPr>
      <w:r>
        <w:rPr>
          <w:rFonts w:ascii="Times New Roman" w:hAnsi="Times New Roman" w:cs="Times New Roman"/>
          <w:sz w:val="60"/>
          <w:szCs w:val="60"/>
        </w:rPr>
        <w:t>广东省海岛旅游发展总体规划</w:t>
      </w:r>
    </w:p>
    <w:p>
      <w:pPr>
        <w:pStyle w:val="42"/>
        <w:ind w:firstLine="0" w:firstLineChars="0"/>
        <w:jc w:val="center"/>
        <w:rPr>
          <w:rFonts w:eastAsia="宋体" w:cs="Times New Roman"/>
          <w:b/>
          <w:bCs/>
          <w:kern w:val="0"/>
          <w:sz w:val="44"/>
          <w:szCs w:val="44"/>
        </w:rPr>
      </w:pPr>
      <w:r>
        <w:rPr>
          <w:rFonts w:eastAsia="宋体" w:cs="Times New Roman"/>
          <w:b/>
          <w:bCs/>
          <w:kern w:val="0"/>
          <w:sz w:val="44"/>
          <w:szCs w:val="44"/>
        </w:rPr>
        <w:t>（2017-2030年）</w:t>
      </w:r>
    </w:p>
    <w:p>
      <w:pPr>
        <w:snapToGrid w:val="0"/>
        <w:spacing w:line="240" w:lineRule="auto"/>
        <w:ind w:firstLine="0" w:firstLineChars="0"/>
        <w:jc w:val="center"/>
        <w:rPr>
          <w:rStyle w:val="142"/>
          <w:rFonts w:ascii="Times New Roman" w:hAnsi="Times New Roman"/>
        </w:rPr>
      </w:pPr>
    </w:p>
    <w:p>
      <w:pPr>
        <w:snapToGrid w:val="0"/>
        <w:spacing w:line="240" w:lineRule="auto"/>
        <w:ind w:left="-214" w:leftChars="-67" w:right="-218" w:rightChars="-68" w:firstLine="0" w:firstLineChars="0"/>
        <w:jc w:val="center"/>
        <w:rPr>
          <w:rStyle w:val="142"/>
          <w:rFonts w:ascii="Times New Roman" w:hAnsi="Times New Roman"/>
        </w:rPr>
      </w:pPr>
    </w:p>
    <w:p>
      <w:pPr>
        <w:snapToGrid w:val="0"/>
        <w:spacing w:line="240" w:lineRule="auto"/>
        <w:ind w:firstLine="0" w:firstLineChars="0"/>
        <w:jc w:val="center"/>
        <w:rPr>
          <w:b/>
          <w:sz w:val="48"/>
          <w:szCs w:val="32"/>
        </w:rPr>
      </w:pPr>
    </w:p>
    <w:p>
      <w:pPr>
        <w:snapToGrid w:val="0"/>
        <w:spacing w:line="240" w:lineRule="auto"/>
        <w:ind w:firstLine="0" w:firstLineChars="0"/>
        <w:jc w:val="center"/>
        <w:rPr>
          <w:b/>
          <w:sz w:val="48"/>
          <w:szCs w:val="32"/>
        </w:rPr>
      </w:pPr>
    </w:p>
    <w:p>
      <w:pPr>
        <w:snapToGrid w:val="0"/>
        <w:spacing w:line="240" w:lineRule="auto"/>
        <w:ind w:firstLine="0" w:firstLineChars="0"/>
        <w:jc w:val="center"/>
        <w:rPr>
          <w:b/>
          <w:sz w:val="48"/>
          <w:szCs w:val="32"/>
        </w:rPr>
      </w:pPr>
    </w:p>
    <w:p>
      <w:pPr>
        <w:snapToGrid w:val="0"/>
        <w:spacing w:line="240" w:lineRule="auto"/>
        <w:ind w:firstLine="0" w:firstLineChars="0"/>
        <w:jc w:val="center"/>
        <w:rPr>
          <w:b/>
          <w:sz w:val="96"/>
          <w:szCs w:val="96"/>
        </w:rPr>
      </w:pPr>
    </w:p>
    <w:p>
      <w:pPr>
        <w:snapToGrid w:val="0"/>
        <w:spacing w:line="240" w:lineRule="auto"/>
        <w:ind w:firstLine="0" w:firstLineChars="0"/>
        <w:jc w:val="center"/>
        <w:rPr>
          <w:b/>
          <w:sz w:val="96"/>
          <w:szCs w:val="96"/>
        </w:rPr>
      </w:pPr>
    </w:p>
    <w:p>
      <w:pPr>
        <w:snapToGrid w:val="0"/>
        <w:spacing w:line="240" w:lineRule="auto"/>
        <w:ind w:firstLine="0" w:firstLineChars="0"/>
        <w:jc w:val="center"/>
        <w:rPr>
          <w:b/>
          <w:sz w:val="96"/>
          <w:szCs w:val="96"/>
        </w:rPr>
      </w:pPr>
    </w:p>
    <w:p>
      <w:pPr>
        <w:snapToGrid w:val="0"/>
        <w:spacing w:line="240" w:lineRule="auto"/>
        <w:ind w:firstLine="0" w:firstLineChars="0"/>
        <w:jc w:val="center"/>
        <w:rPr>
          <w:b/>
          <w:sz w:val="96"/>
          <w:szCs w:val="96"/>
        </w:rPr>
      </w:pPr>
    </w:p>
    <w:p>
      <w:pPr>
        <w:spacing w:line="240" w:lineRule="auto"/>
        <w:ind w:firstLine="0" w:firstLineChars="0"/>
        <w:jc w:val="center"/>
        <w:rPr>
          <w:rStyle w:val="143"/>
          <w:rFonts w:ascii="Times New Roman" w:hAnsi="Times New Roman"/>
          <w:b w:val="0"/>
          <w:bCs w:val="0"/>
          <w:sz w:val="30"/>
          <w:szCs w:val="30"/>
        </w:rPr>
      </w:pPr>
    </w:p>
    <w:p>
      <w:pPr>
        <w:spacing w:line="240" w:lineRule="auto"/>
        <w:ind w:firstLine="0" w:firstLineChars="0"/>
        <w:jc w:val="center"/>
        <w:rPr>
          <w:rStyle w:val="143"/>
          <w:rFonts w:ascii="Times New Roman" w:hAnsi="Times New Roman"/>
          <w:b w:val="0"/>
          <w:bCs w:val="0"/>
          <w:szCs w:val="32"/>
        </w:rPr>
      </w:pPr>
    </w:p>
    <w:p>
      <w:pPr>
        <w:spacing w:line="240" w:lineRule="auto"/>
        <w:ind w:firstLine="0" w:firstLineChars="0"/>
        <w:jc w:val="center"/>
        <w:rPr>
          <w:rStyle w:val="143"/>
          <w:rFonts w:ascii="Times New Roman" w:hAnsi="Times New Roman"/>
          <w:b w:val="0"/>
          <w:bCs w:val="0"/>
          <w:szCs w:val="32"/>
        </w:rPr>
      </w:pPr>
    </w:p>
    <w:p>
      <w:pPr>
        <w:spacing w:line="240" w:lineRule="auto"/>
        <w:ind w:firstLine="0" w:firstLineChars="0"/>
        <w:jc w:val="center"/>
        <w:rPr>
          <w:rStyle w:val="143"/>
          <w:rFonts w:ascii="Times New Roman" w:hAnsi="Times New Roman"/>
          <w:b w:val="0"/>
          <w:bCs w:val="0"/>
          <w:szCs w:val="32"/>
        </w:rPr>
      </w:pPr>
      <w:r>
        <w:rPr>
          <w:rStyle w:val="143"/>
          <w:rFonts w:ascii="Times New Roman" w:hAnsi="Times New Roman"/>
          <w:b w:val="0"/>
          <w:bCs w:val="0"/>
          <w:szCs w:val="32"/>
        </w:rPr>
        <w:t>广东省自然资源厅</w:t>
      </w:r>
    </w:p>
    <w:p>
      <w:pPr>
        <w:spacing w:line="240" w:lineRule="auto"/>
        <w:ind w:firstLine="0" w:firstLineChars="0"/>
        <w:jc w:val="center"/>
        <w:rPr>
          <w:rStyle w:val="143"/>
          <w:rFonts w:ascii="Times New Roman" w:hAnsi="Times New Roman"/>
          <w:b w:val="0"/>
          <w:szCs w:val="32"/>
        </w:rPr>
      </w:pPr>
      <w:r>
        <w:rPr>
          <w:rStyle w:val="143"/>
          <w:rFonts w:ascii="Times New Roman" w:hAnsi="Times New Roman"/>
          <w:b w:val="0"/>
          <w:bCs w:val="0"/>
          <w:szCs w:val="32"/>
        </w:rPr>
        <w:t>广东省文化和旅游厅</w:t>
      </w:r>
    </w:p>
    <w:p>
      <w:pPr>
        <w:spacing w:line="240" w:lineRule="auto"/>
        <w:ind w:firstLine="0" w:firstLineChars="0"/>
        <w:jc w:val="center"/>
        <w:rPr>
          <w:rStyle w:val="143"/>
          <w:rFonts w:ascii="Times New Roman" w:hAnsi="Times New Roman"/>
          <w:b w:val="0"/>
          <w:szCs w:val="32"/>
        </w:rPr>
      </w:pPr>
      <w:r>
        <w:rPr>
          <w:rStyle w:val="143"/>
          <w:rFonts w:ascii="Times New Roman" w:hAnsi="Times New Roman"/>
          <w:b w:val="0"/>
          <w:szCs w:val="32"/>
        </w:rPr>
        <w:t>二</w:t>
      </w:r>
      <w:r>
        <w:rPr>
          <w:rStyle w:val="143"/>
          <w:rFonts w:hint="eastAsia" w:ascii="Times New Roman" w:hAnsi="Times New Roman"/>
          <w:b w:val="0"/>
          <w:szCs w:val="32"/>
        </w:rPr>
        <w:t>〇</w:t>
      </w:r>
      <w:r>
        <w:rPr>
          <w:rStyle w:val="143"/>
          <w:rFonts w:ascii="Times New Roman" w:hAnsi="Times New Roman"/>
          <w:b w:val="0"/>
          <w:szCs w:val="32"/>
        </w:rPr>
        <w:t>一八年十一月</w:t>
      </w:r>
    </w:p>
    <w:p>
      <w:pPr>
        <w:pStyle w:val="42"/>
        <w:ind w:firstLine="0" w:firstLineChars="0"/>
        <w:rPr>
          <w:rFonts w:cs="Times New Roman"/>
        </w:rPr>
      </w:pPr>
    </w:p>
    <w:p>
      <w:pPr>
        <w:pStyle w:val="42"/>
        <w:ind w:firstLine="0" w:firstLineChars="0"/>
        <w:rPr>
          <w:rFonts w:cs="Times New Roman"/>
        </w:rPr>
      </w:pPr>
    </w:p>
    <w:p>
      <w:pPr>
        <w:pStyle w:val="42"/>
        <w:ind w:firstLine="0" w:firstLineChars="0"/>
        <w:rPr>
          <w:rFonts w:cs="Times New Roman"/>
        </w:rPr>
        <w:sectPr>
          <w:headerReference r:id="rId6" w:type="first"/>
          <w:footerReference r:id="rId9" w:type="first"/>
          <w:headerReference r:id="rId4" w:type="default"/>
          <w:footerReference r:id="rId7" w:type="default"/>
          <w:headerReference r:id="rId5" w:type="even"/>
          <w:footerReference r:id="rId8" w:type="even"/>
          <w:pgSz w:w="11906" w:h="16838"/>
          <w:pgMar w:top="1797" w:right="1531" w:bottom="1797" w:left="1531" w:header="851" w:footer="992" w:gutter="0"/>
          <w:pgNumType w:start="1"/>
          <w:cols w:space="720" w:num="1"/>
          <w:titlePg/>
          <w:docGrid w:linePitch="583" w:charSpace="804"/>
        </w:sectPr>
      </w:pPr>
    </w:p>
    <w:p>
      <w:pPr>
        <w:pStyle w:val="42"/>
        <w:ind w:firstLine="0" w:firstLineChars="0"/>
        <w:jc w:val="center"/>
        <w:rPr>
          <w:rFonts w:eastAsia="华文中宋" w:cs="Times New Roman"/>
          <w:b/>
          <w:bCs/>
          <w:kern w:val="0"/>
          <w:sz w:val="44"/>
        </w:rPr>
      </w:pPr>
      <w:r>
        <w:rPr>
          <w:rFonts w:eastAsia="华文中宋" w:cs="Times New Roman"/>
          <w:b/>
          <w:bCs/>
          <w:kern w:val="0"/>
          <w:sz w:val="44"/>
        </w:rPr>
        <w:t>目  录</w:t>
      </w:r>
    </w:p>
    <w:p>
      <w:pPr>
        <w:pStyle w:val="42"/>
        <w:spacing w:line="440" w:lineRule="exact"/>
        <w:ind w:firstLine="0" w:firstLineChars="0"/>
        <w:rPr>
          <w:rFonts w:cs="Times New Roman"/>
        </w:rPr>
      </w:pPr>
    </w:p>
    <w:p>
      <w:pPr>
        <w:pStyle w:val="24"/>
        <w:tabs>
          <w:tab w:val="right" w:leader="dot" w:pos="9070"/>
          <w:tab w:val="clear" w:pos="1440"/>
          <w:tab w:val="clear" w:pos="9060"/>
        </w:tabs>
        <w:spacing w:line="560" w:lineRule="exact"/>
        <w:ind w:left="0" w:leftChars="0"/>
      </w:pPr>
      <w:r>
        <w:rPr>
          <w:rFonts w:eastAsia="宋体"/>
        </w:rPr>
        <w:fldChar w:fldCharType="begin"/>
      </w:r>
      <w:r>
        <w:rPr>
          <w:rFonts w:eastAsia="宋体"/>
        </w:rPr>
        <w:instrText xml:space="preserve"> TOC \o "1-3" \h \z \u </w:instrText>
      </w:r>
      <w:r>
        <w:rPr>
          <w:rFonts w:eastAsia="宋体"/>
        </w:rPr>
        <w:fldChar w:fldCharType="separate"/>
      </w:r>
      <w:r>
        <w:fldChar w:fldCharType="begin"/>
      </w:r>
      <w:r>
        <w:instrText xml:space="preserve"> HYPERLINK \l "_Toc5135" </w:instrText>
      </w:r>
      <w:r>
        <w:fldChar w:fldCharType="separate"/>
      </w:r>
      <w:r>
        <w:rPr>
          <w:sz w:val="28"/>
        </w:rPr>
        <w:t>前言</w:t>
      </w:r>
      <w:r>
        <w:tab/>
      </w:r>
      <w:r>
        <w:rPr>
          <w:sz w:val="28"/>
        </w:rPr>
        <w:fldChar w:fldCharType="begin"/>
      </w:r>
      <w:r>
        <w:rPr>
          <w:sz w:val="28"/>
        </w:rPr>
        <w:instrText xml:space="preserve"> PAGEREF _Toc5135 </w:instrText>
      </w:r>
      <w:r>
        <w:rPr>
          <w:sz w:val="28"/>
        </w:rPr>
        <w:fldChar w:fldCharType="separate"/>
      </w:r>
      <w:r>
        <w:rPr>
          <w:sz w:val="28"/>
        </w:rPr>
        <w:t>1</w:t>
      </w:r>
      <w:r>
        <w:rPr>
          <w:sz w:val="28"/>
        </w:rPr>
        <w:fldChar w:fldCharType="end"/>
      </w:r>
      <w:r>
        <w:rPr>
          <w:sz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"_Toc9166" </w:instrText>
      </w:r>
      <w:r>
        <w:fldChar w:fldCharType="separate"/>
      </w:r>
      <w:r>
        <w:rPr>
          <w:sz w:val="28"/>
        </w:rPr>
        <w:t>一、 总则</w:t>
      </w:r>
      <w:r>
        <w:tab/>
      </w:r>
      <w:r>
        <w:rPr>
          <w:sz w:val="28"/>
        </w:rPr>
        <w:fldChar w:fldCharType="begin"/>
      </w:r>
      <w:r>
        <w:rPr>
          <w:sz w:val="28"/>
        </w:rPr>
        <w:instrText xml:space="preserve"> PAGEREF _Toc9166 </w:instrText>
      </w:r>
      <w:r>
        <w:rPr>
          <w:sz w:val="28"/>
        </w:rPr>
        <w:fldChar w:fldCharType="separate"/>
      </w:r>
      <w:r>
        <w:rPr>
          <w:sz w:val="28"/>
        </w:rPr>
        <w:t>2</w:t>
      </w:r>
      <w:r>
        <w:rPr>
          <w:sz w:val="28"/>
        </w:rPr>
        <w:fldChar w:fldCharType="end"/>
      </w:r>
      <w:r>
        <w:rPr>
          <w:sz w:val="28"/>
        </w:rPr>
        <w:fldChar w:fldCharType="end"/>
      </w:r>
    </w:p>
    <w:p>
      <w:pPr>
        <w:pStyle w:val="14"/>
        <w:spacing w:line="560" w:lineRule="exact"/>
        <w:ind w:left="0" w:leftChars="0" w:firstLine="480" w:firstLineChars="200"/>
      </w:pPr>
      <w:r>
        <w:fldChar w:fldCharType="begin"/>
      </w:r>
      <w:r>
        <w:instrText xml:space="preserve"> HYPERLINK \l "_Toc26906" </w:instrText>
      </w:r>
      <w:r>
        <w:fldChar w:fldCharType="separate"/>
      </w:r>
      <w:r>
        <w:rPr>
          <w:rFonts w:eastAsia="宋体"/>
          <w:iCs w:val="0"/>
          <w:sz w:val="28"/>
          <w:szCs w:val="28"/>
        </w:rPr>
        <w:t xml:space="preserve">（一） </w:t>
      </w:r>
      <w:r>
        <w:rPr>
          <w:rFonts w:eastAsia="宋体"/>
          <w:sz w:val="28"/>
          <w:szCs w:val="28"/>
        </w:rPr>
        <w:t>宏观背景</w:t>
      </w:r>
      <w:r>
        <w:tab/>
      </w:r>
      <w:r>
        <w:rPr>
          <w:rFonts w:eastAsia="黑体"/>
          <w:iCs w:val="0"/>
          <w:smallCaps/>
          <w:sz w:val="28"/>
          <w:szCs w:val="28"/>
        </w:rPr>
        <w:fldChar w:fldCharType="begin"/>
      </w:r>
      <w:r>
        <w:rPr>
          <w:rFonts w:eastAsia="黑体"/>
          <w:iCs w:val="0"/>
          <w:smallCaps/>
          <w:sz w:val="28"/>
          <w:szCs w:val="28"/>
        </w:rPr>
        <w:instrText xml:space="preserve"> PAGEREF _Toc26906 </w:instrText>
      </w:r>
      <w:r>
        <w:rPr>
          <w:rFonts w:eastAsia="黑体"/>
          <w:iCs w:val="0"/>
          <w:smallCaps/>
          <w:sz w:val="28"/>
          <w:szCs w:val="28"/>
        </w:rPr>
        <w:fldChar w:fldCharType="separate"/>
      </w:r>
      <w:r>
        <w:rPr>
          <w:rFonts w:eastAsia="黑体"/>
          <w:iCs w:val="0"/>
          <w:smallCaps/>
          <w:sz w:val="28"/>
          <w:szCs w:val="28"/>
        </w:rPr>
        <w:t>2</w:t>
      </w:r>
      <w:r>
        <w:rPr>
          <w:rFonts w:eastAsia="黑体"/>
          <w:iCs w:val="0"/>
          <w:smallCaps/>
          <w:sz w:val="28"/>
          <w:szCs w:val="28"/>
        </w:rPr>
        <w:fldChar w:fldCharType="end"/>
      </w:r>
      <w:r>
        <w:rPr>
          <w:rFonts w:eastAsia="黑体"/>
          <w:iCs w:val="0"/>
          <w:smallCaps/>
          <w:sz w:val="28"/>
          <w:szCs w:val="28"/>
        </w:rPr>
        <w:fldChar w:fldCharType="end"/>
      </w:r>
    </w:p>
    <w:p>
      <w:pPr>
        <w:pStyle w:val="14"/>
        <w:spacing w:line="560" w:lineRule="exact"/>
        <w:ind w:left="0" w:leftChars="0" w:firstLine="480" w:firstLineChars="200"/>
      </w:pPr>
      <w:r>
        <w:fldChar w:fldCharType="begin"/>
      </w:r>
      <w:r>
        <w:instrText xml:space="preserve"> HYPERLINK \l "_Toc4104" </w:instrText>
      </w:r>
      <w:r>
        <w:fldChar w:fldCharType="separate"/>
      </w:r>
      <w:r>
        <w:rPr>
          <w:rFonts w:eastAsia="宋体"/>
          <w:iCs w:val="0"/>
          <w:sz w:val="28"/>
          <w:szCs w:val="28"/>
        </w:rPr>
        <w:t>（二） 规划范围</w:t>
      </w:r>
      <w:r>
        <w:tab/>
      </w:r>
      <w:r>
        <w:rPr>
          <w:rFonts w:eastAsia="黑体"/>
          <w:iCs w:val="0"/>
          <w:smallCaps/>
          <w:sz w:val="28"/>
          <w:szCs w:val="28"/>
        </w:rPr>
        <w:fldChar w:fldCharType="begin"/>
      </w:r>
      <w:r>
        <w:rPr>
          <w:rFonts w:eastAsia="黑体"/>
          <w:iCs w:val="0"/>
          <w:smallCaps/>
          <w:sz w:val="28"/>
          <w:szCs w:val="28"/>
        </w:rPr>
        <w:instrText xml:space="preserve"> PAGEREF _Toc4104 </w:instrText>
      </w:r>
      <w:r>
        <w:rPr>
          <w:rFonts w:eastAsia="黑体"/>
          <w:iCs w:val="0"/>
          <w:smallCaps/>
          <w:sz w:val="28"/>
          <w:szCs w:val="28"/>
        </w:rPr>
        <w:fldChar w:fldCharType="separate"/>
      </w:r>
      <w:r>
        <w:rPr>
          <w:rFonts w:eastAsia="黑体"/>
          <w:iCs w:val="0"/>
          <w:smallCaps/>
          <w:sz w:val="28"/>
          <w:szCs w:val="28"/>
        </w:rPr>
        <w:t>3</w:t>
      </w:r>
      <w:r>
        <w:rPr>
          <w:rFonts w:eastAsia="黑体"/>
          <w:iCs w:val="0"/>
          <w:smallCaps/>
          <w:sz w:val="28"/>
          <w:szCs w:val="28"/>
        </w:rPr>
        <w:fldChar w:fldCharType="end"/>
      </w:r>
      <w:r>
        <w:rPr>
          <w:rFonts w:eastAsia="黑体"/>
          <w:iCs w:val="0"/>
          <w:smallCaps/>
          <w:sz w:val="28"/>
          <w:szCs w:val="28"/>
        </w:rPr>
        <w:fldChar w:fldCharType="end"/>
      </w:r>
    </w:p>
    <w:p>
      <w:pPr>
        <w:pStyle w:val="14"/>
        <w:spacing w:line="560" w:lineRule="exact"/>
        <w:ind w:left="0" w:leftChars="0" w:firstLine="480" w:firstLineChars="200"/>
      </w:pPr>
      <w:r>
        <w:fldChar w:fldCharType="begin"/>
      </w:r>
      <w:r>
        <w:instrText xml:space="preserve"> HYPERLINK \l "_Toc31100" </w:instrText>
      </w:r>
      <w:r>
        <w:fldChar w:fldCharType="separate"/>
      </w:r>
      <w:r>
        <w:rPr>
          <w:rFonts w:eastAsia="宋体"/>
          <w:iCs w:val="0"/>
          <w:sz w:val="28"/>
          <w:szCs w:val="28"/>
        </w:rPr>
        <w:t>（三） 规划依据</w:t>
      </w:r>
      <w:r>
        <w:tab/>
      </w:r>
      <w:r>
        <w:rPr>
          <w:rFonts w:eastAsia="黑体"/>
          <w:iCs w:val="0"/>
          <w:smallCaps/>
          <w:sz w:val="28"/>
          <w:szCs w:val="28"/>
        </w:rPr>
        <w:fldChar w:fldCharType="begin"/>
      </w:r>
      <w:r>
        <w:rPr>
          <w:rFonts w:eastAsia="黑体"/>
          <w:iCs w:val="0"/>
          <w:smallCaps/>
          <w:sz w:val="28"/>
          <w:szCs w:val="28"/>
        </w:rPr>
        <w:instrText xml:space="preserve"> PAGEREF _Toc31100 </w:instrText>
      </w:r>
      <w:r>
        <w:rPr>
          <w:rFonts w:eastAsia="黑体"/>
          <w:iCs w:val="0"/>
          <w:smallCaps/>
          <w:sz w:val="28"/>
          <w:szCs w:val="28"/>
        </w:rPr>
        <w:fldChar w:fldCharType="separate"/>
      </w:r>
      <w:r>
        <w:rPr>
          <w:rFonts w:eastAsia="黑体"/>
          <w:iCs w:val="0"/>
          <w:smallCaps/>
          <w:sz w:val="28"/>
          <w:szCs w:val="28"/>
        </w:rPr>
        <w:t>3</w:t>
      </w:r>
      <w:r>
        <w:rPr>
          <w:rFonts w:eastAsia="黑体"/>
          <w:iCs w:val="0"/>
          <w:smallCaps/>
          <w:sz w:val="28"/>
          <w:szCs w:val="28"/>
        </w:rPr>
        <w:fldChar w:fldCharType="end"/>
      </w:r>
      <w:r>
        <w:rPr>
          <w:rFonts w:eastAsia="黑体"/>
          <w:iCs w:val="0"/>
          <w:smallCaps/>
          <w:sz w:val="28"/>
          <w:szCs w:val="28"/>
        </w:rPr>
        <w:fldChar w:fldCharType="end"/>
      </w:r>
    </w:p>
    <w:p>
      <w:pPr>
        <w:pStyle w:val="14"/>
        <w:spacing w:line="560" w:lineRule="exact"/>
        <w:ind w:left="0" w:leftChars="0" w:firstLine="480" w:firstLineChars="200"/>
      </w:pPr>
      <w:r>
        <w:fldChar w:fldCharType="begin"/>
      </w:r>
      <w:r>
        <w:instrText xml:space="preserve"> HYPERLINK \l "_Toc6743" </w:instrText>
      </w:r>
      <w:r>
        <w:fldChar w:fldCharType="separate"/>
      </w:r>
      <w:r>
        <w:rPr>
          <w:rFonts w:eastAsia="宋体"/>
          <w:iCs w:val="0"/>
          <w:sz w:val="28"/>
          <w:szCs w:val="28"/>
        </w:rPr>
        <w:t>（四） 规划期限</w:t>
      </w:r>
      <w:r>
        <w:tab/>
      </w:r>
      <w:r>
        <w:rPr>
          <w:rFonts w:eastAsia="黑体"/>
          <w:iCs w:val="0"/>
          <w:smallCaps/>
          <w:sz w:val="28"/>
          <w:szCs w:val="28"/>
        </w:rPr>
        <w:fldChar w:fldCharType="begin"/>
      </w:r>
      <w:r>
        <w:rPr>
          <w:rFonts w:eastAsia="黑体"/>
          <w:iCs w:val="0"/>
          <w:smallCaps/>
          <w:sz w:val="28"/>
          <w:szCs w:val="28"/>
        </w:rPr>
        <w:instrText xml:space="preserve"> PAGEREF _Toc6743 </w:instrText>
      </w:r>
      <w:r>
        <w:rPr>
          <w:rFonts w:eastAsia="黑体"/>
          <w:iCs w:val="0"/>
          <w:smallCaps/>
          <w:sz w:val="28"/>
          <w:szCs w:val="28"/>
        </w:rPr>
        <w:fldChar w:fldCharType="separate"/>
      </w:r>
      <w:r>
        <w:rPr>
          <w:rFonts w:eastAsia="黑体"/>
          <w:iCs w:val="0"/>
          <w:smallCaps/>
          <w:sz w:val="28"/>
          <w:szCs w:val="28"/>
        </w:rPr>
        <w:t>4</w:t>
      </w:r>
      <w:r>
        <w:rPr>
          <w:rFonts w:eastAsia="黑体"/>
          <w:iCs w:val="0"/>
          <w:smallCaps/>
          <w:sz w:val="28"/>
          <w:szCs w:val="28"/>
        </w:rPr>
        <w:fldChar w:fldCharType="end"/>
      </w:r>
      <w:r>
        <w:rPr>
          <w:rFonts w:eastAsia="黑体"/>
          <w:iCs w:val="0"/>
          <w:smallCaps/>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"_Toc30798" </w:instrText>
      </w:r>
      <w:r>
        <w:fldChar w:fldCharType="separate"/>
      </w:r>
      <w:r>
        <w:rPr>
          <w:sz w:val="28"/>
        </w:rPr>
        <w:t>二、 发展基础</w:t>
      </w:r>
      <w:r>
        <w:tab/>
      </w:r>
      <w:r>
        <w:rPr>
          <w:sz w:val="28"/>
        </w:rPr>
        <w:fldChar w:fldCharType="begin"/>
      </w:r>
      <w:r>
        <w:rPr>
          <w:sz w:val="28"/>
        </w:rPr>
        <w:instrText xml:space="preserve"> PAGEREF _Toc30798 </w:instrText>
      </w:r>
      <w:r>
        <w:rPr>
          <w:sz w:val="28"/>
        </w:rPr>
        <w:fldChar w:fldCharType="separate"/>
      </w:r>
      <w:r>
        <w:rPr>
          <w:sz w:val="28"/>
        </w:rPr>
        <w:t>4</w:t>
      </w:r>
      <w:r>
        <w:rPr>
          <w:sz w:val="28"/>
        </w:rPr>
        <w:fldChar w:fldCharType="end"/>
      </w:r>
      <w:r>
        <w:rPr>
          <w:sz w:val="28"/>
        </w:rPr>
        <w:fldChar w:fldCharType="end"/>
      </w:r>
    </w:p>
    <w:p>
      <w:pPr>
        <w:pStyle w:val="14"/>
        <w:spacing w:line="560" w:lineRule="exact"/>
        <w:ind w:left="0" w:leftChars="0" w:firstLine="480" w:firstLineChars="200"/>
        <w:rPr>
          <w:sz w:val="28"/>
          <w:szCs w:val="28"/>
        </w:rPr>
      </w:pPr>
      <w:r>
        <w:fldChar w:fldCharType="begin"/>
      </w:r>
      <w:r>
        <w:instrText xml:space="preserve"> HYPERLINK \l "_Toc21573" </w:instrText>
      </w:r>
      <w:r>
        <w:fldChar w:fldCharType="separate"/>
      </w:r>
      <w:r>
        <w:rPr>
          <w:sz w:val="28"/>
          <w:szCs w:val="28"/>
        </w:rPr>
        <w:t>（一） 旅游资源条件</w:t>
      </w:r>
      <w:r>
        <w:rPr>
          <w:sz w:val="28"/>
          <w:szCs w:val="28"/>
        </w:rPr>
        <w:tab/>
      </w:r>
      <w:r>
        <w:rPr>
          <w:sz w:val="28"/>
          <w:szCs w:val="28"/>
        </w:rPr>
        <w:fldChar w:fldCharType="begin"/>
      </w:r>
      <w:r>
        <w:rPr>
          <w:sz w:val="28"/>
          <w:szCs w:val="28"/>
        </w:rPr>
        <w:instrText xml:space="preserve"> PAGEREF _Toc21573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"_Toc30847" </w:instrText>
      </w:r>
      <w:r>
        <w:fldChar w:fldCharType="separate"/>
      </w:r>
      <w:r>
        <w:rPr>
          <w:sz w:val="28"/>
          <w:szCs w:val="28"/>
        </w:rPr>
        <w:t>（二） 旅游市场分析</w:t>
      </w:r>
      <w:r>
        <w:rPr>
          <w:sz w:val="28"/>
          <w:szCs w:val="28"/>
        </w:rPr>
        <w:tab/>
      </w:r>
      <w:r>
        <w:rPr>
          <w:sz w:val="28"/>
          <w:szCs w:val="28"/>
        </w:rPr>
        <w:fldChar w:fldCharType="begin"/>
      </w:r>
      <w:r>
        <w:rPr>
          <w:sz w:val="28"/>
          <w:szCs w:val="28"/>
        </w:rPr>
        <w:instrText xml:space="preserve"> PAGEREF _Toc30847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"_Toc22112" </w:instrText>
      </w:r>
      <w:r>
        <w:fldChar w:fldCharType="separate"/>
      </w:r>
      <w:r>
        <w:rPr>
          <w:sz w:val="28"/>
          <w:szCs w:val="28"/>
        </w:rPr>
        <w:t>（三） 问题与挑战</w:t>
      </w:r>
      <w:r>
        <w:rPr>
          <w:sz w:val="28"/>
          <w:szCs w:val="28"/>
        </w:rPr>
        <w:tab/>
      </w:r>
      <w:r>
        <w:rPr>
          <w:sz w:val="28"/>
          <w:szCs w:val="28"/>
        </w:rPr>
        <w:fldChar w:fldCharType="begin"/>
      </w:r>
      <w:r>
        <w:rPr>
          <w:sz w:val="28"/>
          <w:szCs w:val="28"/>
        </w:rPr>
        <w:instrText xml:space="preserve"> PAGEREF _Toc22112 </w:instrText>
      </w:r>
      <w:r>
        <w:rPr>
          <w:sz w:val="28"/>
          <w:szCs w:val="28"/>
        </w:rPr>
        <w:fldChar w:fldCharType="separate"/>
      </w:r>
      <w:r>
        <w:rPr>
          <w:sz w:val="28"/>
          <w:szCs w:val="28"/>
        </w:rPr>
        <w:t>11</w:t>
      </w:r>
      <w:r>
        <w:rPr>
          <w:sz w:val="28"/>
          <w:szCs w:val="28"/>
        </w:rPr>
        <w:fldChar w:fldCharType="end"/>
      </w:r>
      <w:r>
        <w:rPr>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"_Toc17470" </w:instrText>
      </w:r>
      <w:r>
        <w:fldChar w:fldCharType="separate"/>
      </w:r>
      <w:r>
        <w:rPr>
          <w:sz w:val="28"/>
        </w:rPr>
        <w:t>三、 总体要求</w:t>
      </w:r>
      <w:r>
        <w:tab/>
      </w:r>
      <w:r>
        <w:rPr>
          <w:sz w:val="28"/>
        </w:rPr>
        <w:fldChar w:fldCharType="begin"/>
      </w:r>
      <w:r>
        <w:rPr>
          <w:sz w:val="28"/>
        </w:rPr>
        <w:instrText xml:space="preserve"> PAGEREF _Toc17470 </w:instrText>
      </w:r>
      <w:r>
        <w:rPr>
          <w:sz w:val="28"/>
        </w:rPr>
        <w:fldChar w:fldCharType="separate"/>
      </w:r>
      <w:r>
        <w:rPr>
          <w:sz w:val="28"/>
        </w:rPr>
        <w:t>12</w:t>
      </w:r>
      <w:r>
        <w:rPr>
          <w:sz w:val="28"/>
        </w:rPr>
        <w:fldChar w:fldCharType="end"/>
      </w:r>
      <w:r>
        <w:rPr>
          <w:sz w:val="28"/>
        </w:rPr>
        <w:fldChar w:fldCharType="end"/>
      </w:r>
    </w:p>
    <w:p>
      <w:pPr>
        <w:pStyle w:val="14"/>
        <w:spacing w:line="560" w:lineRule="exact"/>
        <w:ind w:left="0" w:leftChars="0" w:firstLine="480" w:firstLineChars="200"/>
        <w:rPr>
          <w:sz w:val="28"/>
          <w:szCs w:val="28"/>
        </w:rPr>
      </w:pPr>
      <w:r>
        <w:fldChar w:fldCharType="begin"/>
      </w:r>
      <w:r>
        <w:instrText xml:space="preserve"> HYPERLINK \l "_Toc28309" </w:instrText>
      </w:r>
      <w:r>
        <w:fldChar w:fldCharType="separate"/>
      </w:r>
      <w:r>
        <w:rPr>
          <w:sz w:val="28"/>
          <w:szCs w:val="28"/>
        </w:rPr>
        <w:t>（一） 指导思想</w:t>
      </w:r>
      <w:r>
        <w:rPr>
          <w:sz w:val="28"/>
          <w:szCs w:val="28"/>
        </w:rPr>
        <w:tab/>
      </w:r>
      <w:r>
        <w:rPr>
          <w:sz w:val="28"/>
          <w:szCs w:val="28"/>
        </w:rPr>
        <w:fldChar w:fldCharType="begin"/>
      </w:r>
      <w:r>
        <w:rPr>
          <w:sz w:val="28"/>
          <w:szCs w:val="28"/>
        </w:rPr>
        <w:instrText xml:space="preserve"> PAGEREF _Toc28309 </w:instrText>
      </w:r>
      <w:r>
        <w:rPr>
          <w:sz w:val="28"/>
          <w:szCs w:val="28"/>
        </w:rPr>
        <w:fldChar w:fldCharType="separate"/>
      </w:r>
      <w:r>
        <w:rPr>
          <w:sz w:val="28"/>
          <w:szCs w:val="28"/>
        </w:rPr>
        <w:t>12</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"_Toc13421" </w:instrText>
      </w:r>
      <w:r>
        <w:fldChar w:fldCharType="separate"/>
      </w:r>
      <w:r>
        <w:rPr>
          <w:sz w:val="28"/>
          <w:szCs w:val="28"/>
        </w:rPr>
        <w:t>（二） 基本原则</w:t>
      </w:r>
      <w:r>
        <w:rPr>
          <w:sz w:val="28"/>
          <w:szCs w:val="28"/>
        </w:rPr>
        <w:tab/>
      </w:r>
      <w:r>
        <w:rPr>
          <w:sz w:val="28"/>
          <w:szCs w:val="28"/>
        </w:rPr>
        <w:fldChar w:fldCharType="begin"/>
      </w:r>
      <w:r>
        <w:rPr>
          <w:sz w:val="28"/>
          <w:szCs w:val="28"/>
        </w:rPr>
        <w:instrText xml:space="preserve"> PAGEREF _Toc13421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"_Toc29243" </w:instrText>
      </w:r>
      <w:r>
        <w:fldChar w:fldCharType="separate"/>
      </w:r>
      <w:r>
        <w:rPr>
          <w:sz w:val="28"/>
          <w:szCs w:val="28"/>
        </w:rPr>
        <w:t>（三） 发展目标</w:t>
      </w:r>
      <w:r>
        <w:rPr>
          <w:sz w:val="28"/>
          <w:szCs w:val="28"/>
        </w:rPr>
        <w:tab/>
      </w:r>
      <w:r>
        <w:rPr>
          <w:sz w:val="28"/>
          <w:szCs w:val="28"/>
        </w:rPr>
        <w:fldChar w:fldCharType="begin"/>
      </w:r>
      <w:r>
        <w:rPr>
          <w:sz w:val="28"/>
          <w:szCs w:val="28"/>
        </w:rPr>
        <w:instrText xml:space="preserve"> PAGEREF _Toc29243 </w:instrText>
      </w:r>
      <w:r>
        <w:rPr>
          <w:sz w:val="28"/>
          <w:szCs w:val="28"/>
        </w:rPr>
        <w:fldChar w:fldCharType="separate"/>
      </w:r>
      <w:r>
        <w:rPr>
          <w:sz w:val="28"/>
          <w:szCs w:val="28"/>
        </w:rPr>
        <w:t>13</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"_Toc12549" </w:instrText>
      </w:r>
      <w:r>
        <w:fldChar w:fldCharType="separate"/>
      </w:r>
      <w:r>
        <w:rPr>
          <w:sz w:val="28"/>
          <w:szCs w:val="28"/>
        </w:rPr>
        <w:t>（四） 发展战略</w:t>
      </w:r>
      <w:r>
        <w:rPr>
          <w:sz w:val="28"/>
          <w:szCs w:val="28"/>
        </w:rPr>
        <w:tab/>
      </w:r>
      <w:r>
        <w:rPr>
          <w:sz w:val="28"/>
          <w:szCs w:val="28"/>
        </w:rPr>
        <w:fldChar w:fldCharType="begin"/>
      </w:r>
      <w:r>
        <w:rPr>
          <w:sz w:val="28"/>
          <w:szCs w:val="28"/>
        </w:rPr>
        <w:instrText xml:space="preserve"> PAGEREF _Toc12549 </w:instrText>
      </w:r>
      <w:r>
        <w:rPr>
          <w:sz w:val="28"/>
          <w:szCs w:val="28"/>
        </w:rPr>
        <w:fldChar w:fldCharType="separate"/>
      </w:r>
      <w:r>
        <w:rPr>
          <w:sz w:val="28"/>
          <w:szCs w:val="28"/>
        </w:rPr>
        <w:t>15</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"_Toc22903" </w:instrText>
      </w:r>
      <w:r>
        <w:fldChar w:fldCharType="separate"/>
      </w:r>
      <w:r>
        <w:rPr>
          <w:sz w:val="28"/>
          <w:szCs w:val="28"/>
        </w:rPr>
        <w:t>（五） 总体布局</w:t>
      </w:r>
      <w:r>
        <w:rPr>
          <w:sz w:val="28"/>
          <w:szCs w:val="28"/>
        </w:rPr>
        <w:tab/>
      </w:r>
      <w:r>
        <w:rPr>
          <w:sz w:val="28"/>
          <w:szCs w:val="28"/>
        </w:rPr>
        <w:fldChar w:fldCharType="begin"/>
      </w:r>
      <w:r>
        <w:rPr>
          <w:sz w:val="28"/>
          <w:szCs w:val="28"/>
        </w:rPr>
        <w:instrText xml:space="preserve"> PAGEREF _Toc22903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"_Toc2396" </w:instrText>
      </w:r>
      <w:r>
        <w:fldChar w:fldCharType="separate"/>
      </w:r>
      <w:r>
        <w:rPr>
          <w:sz w:val="28"/>
        </w:rPr>
        <w:t>四、 重点任务</w:t>
      </w:r>
      <w:r>
        <w:tab/>
      </w:r>
      <w:r>
        <w:rPr>
          <w:sz w:val="28"/>
        </w:rPr>
        <w:fldChar w:fldCharType="begin"/>
      </w:r>
      <w:r>
        <w:rPr>
          <w:sz w:val="28"/>
        </w:rPr>
        <w:instrText xml:space="preserve"> PAGEREF _Toc2396 </w:instrText>
      </w:r>
      <w:r>
        <w:rPr>
          <w:sz w:val="28"/>
        </w:rPr>
        <w:fldChar w:fldCharType="separate"/>
      </w:r>
      <w:r>
        <w:rPr>
          <w:sz w:val="28"/>
        </w:rPr>
        <w:t>20</w:t>
      </w:r>
      <w:r>
        <w:rPr>
          <w:sz w:val="28"/>
        </w:rPr>
        <w:fldChar w:fldCharType="end"/>
      </w:r>
      <w:r>
        <w:rPr>
          <w:sz w:val="28"/>
        </w:rPr>
        <w:fldChar w:fldCharType="end"/>
      </w:r>
    </w:p>
    <w:p>
      <w:pPr>
        <w:pStyle w:val="14"/>
        <w:spacing w:line="560" w:lineRule="exact"/>
        <w:ind w:left="0" w:leftChars="0" w:firstLine="480" w:firstLineChars="200"/>
        <w:rPr>
          <w:sz w:val="28"/>
          <w:szCs w:val="28"/>
        </w:rPr>
      </w:pPr>
      <w:r>
        <w:fldChar w:fldCharType="begin"/>
      </w:r>
      <w:r>
        <w:instrText xml:space="preserve"> HYPERLINK \l "_Toc14066" </w:instrText>
      </w:r>
      <w:r>
        <w:fldChar w:fldCharType="separate"/>
      </w:r>
      <w:r>
        <w:rPr>
          <w:sz w:val="28"/>
          <w:szCs w:val="28"/>
        </w:rPr>
        <w:t>（一） 模式创新，六大突破科学发展</w:t>
      </w:r>
      <w:r>
        <w:rPr>
          <w:sz w:val="28"/>
          <w:szCs w:val="28"/>
        </w:rPr>
        <w:tab/>
      </w:r>
      <w:r>
        <w:rPr>
          <w:sz w:val="28"/>
          <w:szCs w:val="28"/>
        </w:rPr>
        <w:fldChar w:fldCharType="begin"/>
      </w:r>
      <w:r>
        <w:rPr>
          <w:sz w:val="28"/>
          <w:szCs w:val="28"/>
        </w:rPr>
        <w:instrText xml:space="preserve"> PAGEREF _Toc14066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"_Toc2965" </w:instrText>
      </w:r>
      <w:r>
        <w:fldChar w:fldCharType="separate"/>
      </w:r>
      <w:r>
        <w:rPr>
          <w:sz w:val="28"/>
          <w:szCs w:val="28"/>
        </w:rPr>
        <w:t>（二） 产品创新，突出特色优化供给</w:t>
      </w:r>
      <w:r>
        <w:rPr>
          <w:sz w:val="28"/>
          <w:szCs w:val="28"/>
        </w:rPr>
        <w:tab/>
      </w:r>
      <w:r>
        <w:rPr>
          <w:sz w:val="28"/>
          <w:szCs w:val="28"/>
        </w:rPr>
        <w:fldChar w:fldCharType="begin"/>
      </w:r>
      <w:r>
        <w:rPr>
          <w:sz w:val="28"/>
          <w:szCs w:val="28"/>
        </w:rPr>
        <w:instrText xml:space="preserve"> PAGEREF _Toc2965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"_Toc30187" </w:instrText>
      </w:r>
      <w:r>
        <w:fldChar w:fldCharType="separate"/>
      </w:r>
      <w:r>
        <w:rPr>
          <w:sz w:val="28"/>
          <w:szCs w:val="28"/>
        </w:rPr>
        <w:t>（三） 政策创新，先行先试深化改革</w:t>
      </w:r>
      <w:r>
        <w:rPr>
          <w:sz w:val="28"/>
          <w:szCs w:val="28"/>
        </w:rPr>
        <w:tab/>
      </w:r>
      <w:r>
        <w:rPr>
          <w:sz w:val="28"/>
          <w:szCs w:val="28"/>
        </w:rPr>
        <w:fldChar w:fldCharType="begin"/>
      </w:r>
      <w:r>
        <w:rPr>
          <w:sz w:val="28"/>
          <w:szCs w:val="28"/>
        </w:rPr>
        <w:instrText xml:space="preserve"> PAGEREF _Toc30187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"_Toc15577" </w:instrText>
      </w:r>
      <w:r>
        <w:fldChar w:fldCharType="separate"/>
      </w:r>
      <w:r>
        <w:rPr>
          <w:sz w:val="28"/>
          <w:szCs w:val="28"/>
        </w:rPr>
        <w:t>（四） 区域协调，海丝引领一市一品</w:t>
      </w:r>
      <w:r>
        <w:rPr>
          <w:sz w:val="28"/>
          <w:szCs w:val="28"/>
        </w:rPr>
        <w:tab/>
      </w:r>
      <w:r>
        <w:rPr>
          <w:sz w:val="28"/>
          <w:szCs w:val="28"/>
        </w:rPr>
        <w:fldChar w:fldCharType="begin"/>
      </w:r>
      <w:r>
        <w:rPr>
          <w:sz w:val="28"/>
          <w:szCs w:val="28"/>
        </w:rPr>
        <w:instrText xml:space="preserve"> PAGEREF _Toc15577 </w:instrText>
      </w:r>
      <w:r>
        <w:rPr>
          <w:sz w:val="28"/>
          <w:szCs w:val="28"/>
        </w:rPr>
        <w:fldChar w:fldCharType="separate"/>
      </w:r>
      <w:r>
        <w:rPr>
          <w:sz w:val="28"/>
          <w:szCs w:val="28"/>
        </w:rPr>
        <w:t>37</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"_Toc23085" </w:instrText>
      </w:r>
      <w:r>
        <w:fldChar w:fldCharType="separate"/>
      </w:r>
      <w:r>
        <w:rPr>
          <w:sz w:val="28"/>
          <w:szCs w:val="28"/>
        </w:rPr>
        <w:t>（五） 产业协调，提质增效服务升级</w:t>
      </w:r>
      <w:r>
        <w:rPr>
          <w:sz w:val="28"/>
          <w:szCs w:val="28"/>
        </w:rPr>
        <w:tab/>
      </w:r>
      <w:r>
        <w:rPr>
          <w:sz w:val="28"/>
          <w:szCs w:val="28"/>
        </w:rPr>
        <w:fldChar w:fldCharType="begin"/>
      </w:r>
      <w:r>
        <w:rPr>
          <w:sz w:val="28"/>
          <w:szCs w:val="28"/>
        </w:rPr>
        <w:instrText xml:space="preserve"> PAGEREF _Toc23085 </w:instrText>
      </w:r>
      <w:r>
        <w:rPr>
          <w:sz w:val="28"/>
          <w:szCs w:val="28"/>
        </w:rPr>
        <w:fldChar w:fldCharType="separate"/>
      </w:r>
      <w:r>
        <w:rPr>
          <w:sz w:val="28"/>
          <w:szCs w:val="28"/>
        </w:rPr>
        <w:t>44</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"_Toc24580" </w:instrText>
      </w:r>
      <w:r>
        <w:fldChar w:fldCharType="separate"/>
      </w:r>
      <w:r>
        <w:rPr>
          <w:sz w:val="28"/>
          <w:szCs w:val="28"/>
        </w:rPr>
        <w:t>（六） 绿色发展，生态文明保护优先</w:t>
      </w:r>
      <w:r>
        <w:rPr>
          <w:sz w:val="28"/>
          <w:szCs w:val="28"/>
        </w:rPr>
        <w:tab/>
      </w:r>
      <w:r>
        <w:rPr>
          <w:sz w:val="28"/>
          <w:szCs w:val="28"/>
        </w:rPr>
        <w:fldChar w:fldCharType="begin"/>
      </w:r>
      <w:r>
        <w:rPr>
          <w:sz w:val="28"/>
          <w:szCs w:val="28"/>
        </w:rPr>
        <w:instrText xml:space="preserve"> PAGEREF _Toc24580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"_Toc22649" </w:instrText>
      </w:r>
      <w:r>
        <w:fldChar w:fldCharType="separate"/>
      </w:r>
      <w:r>
        <w:rPr>
          <w:sz w:val="28"/>
          <w:szCs w:val="28"/>
        </w:rPr>
        <w:t>（七） 开放发展，联盟南海岛约世界</w:t>
      </w:r>
      <w:r>
        <w:rPr>
          <w:sz w:val="28"/>
          <w:szCs w:val="28"/>
        </w:rPr>
        <w:tab/>
      </w:r>
      <w:r>
        <w:rPr>
          <w:sz w:val="28"/>
          <w:szCs w:val="28"/>
        </w:rPr>
        <w:fldChar w:fldCharType="begin"/>
      </w:r>
      <w:r>
        <w:rPr>
          <w:sz w:val="28"/>
          <w:szCs w:val="28"/>
        </w:rPr>
        <w:instrText xml:space="preserve"> PAGEREF _Toc22649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"_Toc9950" </w:instrText>
      </w:r>
      <w:r>
        <w:fldChar w:fldCharType="separate"/>
      </w:r>
      <w:r>
        <w:rPr>
          <w:sz w:val="28"/>
          <w:szCs w:val="28"/>
        </w:rPr>
        <w:t>（八） 共享发展，旅游富民海洋强国</w:t>
      </w:r>
      <w:r>
        <w:rPr>
          <w:sz w:val="28"/>
          <w:szCs w:val="28"/>
        </w:rPr>
        <w:tab/>
      </w:r>
      <w:r>
        <w:rPr>
          <w:sz w:val="28"/>
          <w:szCs w:val="28"/>
        </w:rPr>
        <w:fldChar w:fldCharType="begin"/>
      </w:r>
      <w:r>
        <w:rPr>
          <w:sz w:val="28"/>
          <w:szCs w:val="28"/>
        </w:rPr>
        <w:instrText xml:space="preserve"> PAGEREF _Toc9950 </w:instrText>
      </w:r>
      <w:r>
        <w:rPr>
          <w:sz w:val="28"/>
          <w:szCs w:val="28"/>
        </w:rPr>
        <w:fldChar w:fldCharType="separate"/>
      </w:r>
      <w:r>
        <w:rPr>
          <w:sz w:val="28"/>
          <w:szCs w:val="28"/>
        </w:rPr>
        <w:t>55</w:t>
      </w:r>
      <w:r>
        <w:rPr>
          <w:sz w:val="28"/>
          <w:szCs w:val="28"/>
        </w:rPr>
        <w:fldChar w:fldCharType="end"/>
      </w:r>
      <w:r>
        <w:rPr>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"_Toc21334" </w:instrText>
      </w:r>
      <w:r>
        <w:fldChar w:fldCharType="separate"/>
      </w:r>
      <w:r>
        <w:rPr>
          <w:sz w:val="28"/>
        </w:rPr>
        <w:t>五、 保障措施</w:t>
      </w:r>
      <w:r>
        <w:tab/>
      </w:r>
      <w:r>
        <w:rPr>
          <w:sz w:val="28"/>
        </w:rPr>
        <w:fldChar w:fldCharType="begin"/>
      </w:r>
      <w:r>
        <w:rPr>
          <w:sz w:val="28"/>
        </w:rPr>
        <w:instrText xml:space="preserve"> PAGEREF _Toc21334 </w:instrText>
      </w:r>
      <w:r>
        <w:rPr>
          <w:sz w:val="28"/>
        </w:rPr>
        <w:fldChar w:fldCharType="separate"/>
      </w:r>
      <w:r>
        <w:rPr>
          <w:sz w:val="28"/>
        </w:rPr>
        <w:t>57</w:t>
      </w:r>
      <w:r>
        <w:rPr>
          <w:sz w:val="28"/>
        </w:rPr>
        <w:fldChar w:fldCharType="end"/>
      </w:r>
      <w:r>
        <w:rPr>
          <w:sz w:val="28"/>
        </w:rPr>
        <w:fldChar w:fldCharType="end"/>
      </w:r>
    </w:p>
    <w:p>
      <w:pPr>
        <w:pStyle w:val="14"/>
        <w:spacing w:line="560" w:lineRule="exact"/>
        <w:ind w:left="0" w:leftChars="0" w:firstLine="480" w:firstLineChars="200"/>
        <w:rPr>
          <w:sz w:val="28"/>
          <w:szCs w:val="28"/>
        </w:rPr>
      </w:pPr>
      <w:r>
        <w:fldChar w:fldCharType="begin"/>
      </w:r>
      <w:r>
        <w:instrText xml:space="preserve"> HYPERLINK \l "_Toc2599" </w:instrText>
      </w:r>
      <w:r>
        <w:fldChar w:fldCharType="separate"/>
      </w:r>
      <w:r>
        <w:rPr>
          <w:sz w:val="28"/>
          <w:szCs w:val="28"/>
        </w:rPr>
        <w:t>（一） 创新机制体制</w:t>
      </w:r>
      <w:r>
        <w:rPr>
          <w:sz w:val="28"/>
          <w:szCs w:val="28"/>
        </w:rPr>
        <w:tab/>
      </w:r>
      <w:r>
        <w:rPr>
          <w:sz w:val="28"/>
          <w:szCs w:val="28"/>
        </w:rPr>
        <w:fldChar w:fldCharType="begin"/>
      </w:r>
      <w:r>
        <w:rPr>
          <w:sz w:val="28"/>
          <w:szCs w:val="28"/>
        </w:rPr>
        <w:instrText xml:space="preserve"> PAGEREF _Toc2599 </w:instrText>
      </w:r>
      <w:r>
        <w:rPr>
          <w:sz w:val="28"/>
          <w:szCs w:val="28"/>
        </w:rPr>
        <w:fldChar w:fldCharType="separate"/>
      </w:r>
      <w:r>
        <w:rPr>
          <w:sz w:val="28"/>
          <w:szCs w:val="28"/>
        </w:rPr>
        <w:t>57</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"_Toc26484" </w:instrText>
      </w:r>
      <w:r>
        <w:fldChar w:fldCharType="separate"/>
      </w:r>
      <w:r>
        <w:rPr>
          <w:sz w:val="28"/>
          <w:szCs w:val="28"/>
        </w:rPr>
        <w:t>（二） 深化行业改革</w:t>
      </w:r>
      <w:r>
        <w:rPr>
          <w:sz w:val="28"/>
          <w:szCs w:val="28"/>
        </w:rPr>
        <w:tab/>
      </w:r>
      <w:r>
        <w:rPr>
          <w:sz w:val="28"/>
          <w:szCs w:val="28"/>
        </w:rPr>
        <w:fldChar w:fldCharType="begin"/>
      </w:r>
      <w:r>
        <w:rPr>
          <w:sz w:val="28"/>
          <w:szCs w:val="28"/>
        </w:rPr>
        <w:instrText xml:space="preserve"> PAGEREF _Toc26484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"_Toc26366" </w:instrText>
      </w:r>
      <w:r>
        <w:fldChar w:fldCharType="separate"/>
      </w:r>
      <w:r>
        <w:rPr>
          <w:sz w:val="28"/>
          <w:szCs w:val="28"/>
        </w:rPr>
        <w:t>（三） 强化法制建设</w:t>
      </w:r>
      <w:r>
        <w:rPr>
          <w:sz w:val="28"/>
          <w:szCs w:val="28"/>
        </w:rPr>
        <w:tab/>
      </w:r>
      <w:r>
        <w:rPr>
          <w:sz w:val="28"/>
          <w:szCs w:val="28"/>
        </w:rPr>
        <w:fldChar w:fldCharType="begin"/>
      </w:r>
      <w:r>
        <w:rPr>
          <w:sz w:val="28"/>
          <w:szCs w:val="28"/>
        </w:rPr>
        <w:instrText xml:space="preserve"> PAGEREF _Toc26366 </w:instrText>
      </w:r>
      <w:r>
        <w:rPr>
          <w:sz w:val="28"/>
          <w:szCs w:val="28"/>
        </w:rPr>
        <w:fldChar w:fldCharType="separate"/>
      </w:r>
      <w:r>
        <w:rPr>
          <w:sz w:val="28"/>
          <w:szCs w:val="28"/>
        </w:rPr>
        <w:t>59</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"_Toc3068" </w:instrText>
      </w:r>
      <w:r>
        <w:fldChar w:fldCharType="separate"/>
      </w:r>
      <w:r>
        <w:rPr>
          <w:sz w:val="28"/>
          <w:szCs w:val="28"/>
        </w:rPr>
        <w:t>（四） 加强安全监管</w:t>
      </w:r>
      <w:r>
        <w:rPr>
          <w:sz w:val="28"/>
          <w:szCs w:val="28"/>
        </w:rPr>
        <w:tab/>
      </w:r>
      <w:r>
        <w:rPr>
          <w:sz w:val="28"/>
          <w:szCs w:val="28"/>
        </w:rPr>
        <w:fldChar w:fldCharType="begin"/>
      </w:r>
      <w:r>
        <w:rPr>
          <w:sz w:val="28"/>
          <w:szCs w:val="28"/>
        </w:rPr>
        <w:instrText xml:space="preserve"> PAGEREF _Toc3068 </w:instrText>
      </w:r>
      <w:r>
        <w:rPr>
          <w:sz w:val="28"/>
          <w:szCs w:val="28"/>
        </w:rPr>
        <w:fldChar w:fldCharType="separate"/>
      </w:r>
      <w:r>
        <w:rPr>
          <w:sz w:val="28"/>
          <w:szCs w:val="28"/>
        </w:rPr>
        <w:t>60</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"_Toc13410" </w:instrText>
      </w:r>
      <w:r>
        <w:fldChar w:fldCharType="separate"/>
      </w:r>
      <w:r>
        <w:rPr>
          <w:sz w:val="28"/>
          <w:szCs w:val="28"/>
        </w:rPr>
        <w:t>（五） 落实扶持政策</w:t>
      </w:r>
      <w:r>
        <w:rPr>
          <w:sz w:val="28"/>
          <w:szCs w:val="28"/>
        </w:rPr>
        <w:tab/>
      </w:r>
      <w:r>
        <w:rPr>
          <w:sz w:val="28"/>
          <w:szCs w:val="28"/>
        </w:rPr>
        <w:fldChar w:fldCharType="begin"/>
      </w:r>
      <w:r>
        <w:rPr>
          <w:sz w:val="28"/>
          <w:szCs w:val="28"/>
        </w:rPr>
        <w:instrText xml:space="preserve"> PAGEREF _Toc13410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"_Toc11904" </w:instrText>
      </w:r>
      <w:r>
        <w:fldChar w:fldCharType="separate"/>
      </w:r>
      <w:r>
        <w:rPr>
          <w:sz w:val="28"/>
          <w:szCs w:val="28"/>
        </w:rPr>
        <w:t>（六） 近期行动计划</w:t>
      </w:r>
      <w:r>
        <w:rPr>
          <w:sz w:val="28"/>
          <w:szCs w:val="28"/>
        </w:rPr>
        <w:tab/>
      </w:r>
      <w:r>
        <w:rPr>
          <w:sz w:val="28"/>
          <w:szCs w:val="28"/>
        </w:rPr>
        <w:fldChar w:fldCharType="begin"/>
      </w:r>
      <w:r>
        <w:rPr>
          <w:sz w:val="28"/>
          <w:szCs w:val="28"/>
        </w:rPr>
        <w:instrText xml:space="preserve"> PAGEREF _Toc11904 </w:instrText>
      </w:r>
      <w:r>
        <w:rPr>
          <w:sz w:val="28"/>
          <w:szCs w:val="28"/>
        </w:rPr>
        <w:fldChar w:fldCharType="separate"/>
      </w:r>
      <w:r>
        <w:rPr>
          <w:sz w:val="28"/>
          <w:szCs w:val="28"/>
        </w:rPr>
        <w:t>62</w:t>
      </w:r>
      <w:r>
        <w:rPr>
          <w:sz w:val="28"/>
          <w:szCs w:val="28"/>
        </w:rPr>
        <w:fldChar w:fldCharType="end"/>
      </w:r>
      <w:r>
        <w:rPr>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"_Toc31203" </w:instrText>
      </w:r>
      <w:r>
        <w:fldChar w:fldCharType="separate"/>
      </w:r>
      <w:r>
        <w:rPr>
          <w:sz w:val="28"/>
        </w:rPr>
        <w:t>六、 环境影响评价</w:t>
      </w:r>
      <w:r>
        <w:tab/>
      </w:r>
      <w:r>
        <w:rPr>
          <w:sz w:val="28"/>
        </w:rPr>
        <w:fldChar w:fldCharType="begin"/>
      </w:r>
      <w:r>
        <w:rPr>
          <w:sz w:val="28"/>
        </w:rPr>
        <w:instrText xml:space="preserve"> PAGEREF _Toc31203 </w:instrText>
      </w:r>
      <w:r>
        <w:rPr>
          <w:sz w:val="28"/>
        </w:rPr>
        <w:fldChar w:fldCharType="separate"/>
      </w:r>
      <w:r>
        <w:rPr>
          <w:sz w:val="28"/>
        </w:rPr>
        <w:t>63</w:t>
      </w:r>
      <w:r>
        <w:rPr>
          <w:sz w:val="28"/>
        </w:rPr>
        <w:fldChar w:fldCharType="end"/>
      </w:r>
      <w:r>
        <w:rPr>
          <w:sz w:val="28"/>
        </w:rPr>
        <w:fldChar w:fldCharType="end"/>
      </w:r>
    </w:p>
    <w:p>
      <w:pPr>
        <w:pStyle w:val="14"/>
        <w:spacing w:line="560" w:lineRule="exact"/>
        <w:ind w:left="0" w:leftChars="0" w:firstLine="480" w:firstLineChars="200"/>
        <w:rPr>
          <w:sz w:val="28"/>
          <w:szCs w:val="28"/>
        </w:rPr>
      </w:pPr>
      <w:r>
        <w:fldChar w:fldCharType="begin"/>
      </w:r>
      <w:r>
        <w:instrText xml:space="preserve"> HYPERLINK \l "_Toc28533" </w:instrText>
      </w:r>
      <w:r>
        <w:fldChar w:fldCharType="separate"/>
      </w:r>
      <w:r>
        <w:rPr>
          <w:sz w:val="28"/>
          <w:szCs w:val="28"/>
        </w:rPr>
        <w:t>（一） 规划方案综合分析</w:t>
      </w:r>
      <w:r>
        <w:rPr>
          <w:sz w:val="28"/>
          <w:szCs w:val="28"/>
        </w:rPr>
        <w:tab/>
      </w:r>
      <w:r>
        <w:rPr>
          <w:sz w:val="28"/>
          <w:szCs w:val="28"/>
        </w:rPr>
        <w:fldChar w:fldCharType="begin"/>
      </w:r>
      <w:r>
        <w:rPr>
          <w:sz w:val="28"/>
          <w:szCs w:val="28"/>
        </w:rPr>
        <w:instrText xml:space="preserve"> PAGEREF _Toc28533 </w:instrText>
      </w:r>
      <w:r>
        <w:rPr>
          <w:sz w:val="28"/>
          <w:szCs w:val="28"/>
        </w:rPr>
        <w:fldChar w:fldCharType="separate"/>
      </w:r>
      <w:r>
        <w:rPr>
          <w:sz w:val="28"/>
          <w:szCs w:val="28"/>
        </w:rPr>
        <w:t>63</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"_Toc14526" </w:instrText>
      </w:r>
      <w:r>
        <w:fldChar w:fldCharType="separate"/>
      </w:r>
      <w:r>
        <w:rPr>
          <w:sz w:val="28"/>
          <w:szCs w:val="28"/>
        </w:rPr>
        <w:t>（二） 规划环境影响分析与评价</w:t>
      </w:r>
      <w:r>
        <w:rPr>
          <w:sz w:val="28"/>
          <w:szCs w:val="28"/>
        </w:rPr>
        <w:tab/>
      </w:r>
      <w:r>
        <w:rPr>
          <w:sz w:val="28"/>
          <w:szCs w:val="28"/>
        </w:rPr>
        <w:fldChar w:fldCharType="begin"/>
      </w:r>
      <w:r>
        <w:rPr>
          <w:sz w:val="28"/>
          <w:szCs w:val="28"/>
        </w:rPr>
        <w:instrText xml:space="preserve"> PAGEREF _Toc14526 </w:instrText>
      </w:r>
      <w:r>
        <w:rPr>
          <w:sz w:val="28"/>
          <w:szCs w:val="28"/>
        </w:rPr>
        <w:fldChar w:fldCharType="separate"/>
      </w:r>
      <w:r>
        <w:rPr>
          <w:sz w:val="28"/>
          <w:szCs w:val="28"/>
        </w:rPr>
        <w:t>64</w:t>
      </w:r>
      <w:r>
        <w:rPr>
          <w:sz w:val="28"/>
          <w:szCs w:val="28"/>
        </w:rPr>
        <w:fldChar w:fldCharType="end"/>
      </w:r>
      <w:r>
        <w:rPr>
          <w:sz w:val="28"/>
          <w:szCs w:val="28"/>
        </w:rPr>
        <w:fldChar w:fldCharType="end"/>
      </w:r>
    </w:p>
    <w:p>
      <w:pPr>
        <w:pStyle w:val="14"/>
        <w:spacing w:line="560" w:lineRule="exact"/>
        <w:ind w:left="0" w:leftChars="0" w:firstLine="480" w:firstLineChars="200"/>
        <w:rPr>
          <w:sz w:val="28"/>
          <w:szCs w:val="28"/>
        </w:rPr>
      </w:pPr>
      <w:r>
        <w:fldChar w:fldCharType="begin"/>
      </w:r>
      <w:r>
        <w:instrText xml:space="preserve"> HYPERLINK \l "_Toc2898" </w:instrText>
      </w:r>
      <w:r>
        <w:fldChar w:fldCharType="separate"/>
      </w:r>
      <w:r>
        <w:rPr>
          <w:sz w:val="28"/>
          <w:szCs w:val="28"/>
        </w:rPr>
        <w:t>（三） 规划环境影响的减缓措施</w:t>
      </w:r>
      <w:r>
        <w:rPr>
          <w:sz w:val="28"/>
          <w:szCs w:val="28"/>
        </w:rPr>
        <w:tab/>
      </w:r>
      <w:r>
        <w:rPr>
          <w:sz w:val="28"/>
          <w:szCs w:val="28"/>
        </w:rPr>
        <w:fldChar w:fldCharType="begin"/>
      </w:r>
      <w:r>
        <w:rPr>
          <w:sz w:val="28"/>
          <w:szCs w:val="28"/>
        </w:rPr>
        <w:instrText xml:space="preserve"> PAGEREF _Toc2898 </w:instrText>
      </w:r>
      <w:r>
        <w:rPr>
          <w:sz w:val="28"/>
          <w:szCs w:val="28"/>
        </w:rPr>
        <w:fldChar w:fldCharType="separate"/>
      </w:r>
      <w:r>
        <w:rPr>
          <w:sz w:val="28"/>
          <w:szCs w:val="28"/>
        </w:rPr>
        <w:t>65</w:t>
      </w:r>
      <w:r>
        <w:rPr>
          <w:sz w:val="28"/>
          <w:szCs w:val="28"/>
        </w:rPr>
        <w:fldChar w:fldCharType="end"/>
      </w:r>
      <w:r>
        <w:rPr>
          <w:sz w:val="28"/>
          <w:szCs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"_Toc17146" </w:instrText>
      </w:r>
      <w:r>
        <w:fldChar w:fldCharType="separate"/>
      </w:r>
      <w:r>
        <w:rPr>
          <w:sz w:val="28"/>
        </w:rPr>
        <w:t>附表1：广东海岛旅游发展指引一览表（有居民海岛）</w:t>
      </w:r>
      <w:r>
        <w:tab/>
      </w:r>
      <w:r>
        <w:rPr>
          <w:sz w:val="28"/>
        </w:rPr>
        <w:fldChar w:fldCharType="begin"/>
      </w:r>
      <w:r>
        <w:rPr>
          <w:sz w:val="28"/>
        </w:rPr>
        <w:instrText xml:space="preserve"> PAGEREF _Toc17146 </w:instrText>
      </w:r>
      <w:r>
        <w:rPr>
          <w:sz w:val="28"/>
        </w:rPr>
        <w:fldChar w:fldCharType="separate"/>
      </w:r>
      <w:r>
        <w:rPr>
          <w:sz w:val="28"/>
        </w:rPr>
        <w:t>66</w:t>
      </w:r>
      <w:r>
        <w:rPr>
          <w:sz w:val="28"/>
        </w:rPr>
        <w:fldChar w:fldCharType="end"/>
      </w:r>
      <w:r>
        <w:rPr>
          <w:sz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"_Toc7624" </w:instrText>
      </w:r>
      <w:r>
        <w:fldChar w:fldCharType="separate"/>
      </w:r>
      <w:r>
        <w:rPr>
          <w:sz w:val="28"/>
        </w:rPr>
        <w:t>附表2：广东海岛旅游发展指引一览表（无居民海岛）</w:t>
      </w:r>
      <w:r>
        <w:tab/>
      </w:r>
      <w:r>
        <w:rPr>
          <w:sz w:val="28"/>
        </w:rPr>
        <w:fldChar w:fldCharType="begin"/>
      </w:r>
      <w:r>
        <w:rPr>
          <w:sz w:val="28"/>
        </w:rPr>
        <w:instrText xml:space="preserve"> PAGEREF _Toc7624 </w:instrText>
      </w:r>
      <w:r>
        <w:rPr>
          <w:sz w:val="28"/>
        </w:rPr>
        <w:fldChar w:fldCharType="separate"/>
      </w:r>
      <w:r>
        <w:rPr>
          <w:sz w:val="28"/>
        </w:rPr>
        <w:t>68</w:t>
      </w:r>
      <w:r>
        <w:rPr>
          <w:sz w:val="28"/>
        </w:rPr>
        <w:fldChar w:fldCharType="end"/>
      </w:r>
      <w:r>
        <w:rPr>
          <w:sz w:val="28"/>
        </w:rPr>
        <w:fldChar w:fldCharType="end"/>
      </w:r>
    </w:p>
    <w:p>
      <w:pPr>
        <w:pStyle w:val="24"/>
        <w:tabs>
          <w:tab w:val="right" w:leader="dot" w:pos="9070"/>
          <w:tab w:val="clear" w:pos="1440"/>
          <w:tab w:val="clear" w:pos="9060"/>
        </w:tabs>
        <w:spacing w:line="560" w:lineRule="exact"/>
        <w:ind w:left="0" w:leftChars="0"/>
      </w:pPr>
      <w:r>
        <w:fldChar w:fldCharType="begin"/>
      </w:r>
      <w:r>
        <w:instrText xml:space="preserve"> HYPERLINK \l "_Toc6204" </w:instrText>
      </w:r>
      <w:r>
        <w:fldChar w:fldCharType="separate"/>
      </w:r>
      <w:r>
        <w:rPr>
          <w:sz w:val="28"/>
        </w:rPr>
        <w:t>附表3：广东海岛旅游发展近期重大项目一览表</w:t>
      </w:r>
      <w:r>
        <w:tab/>
      </w:r>
      <w:r>
        <w:rPr>
          <w:sz w:val="28"/>
        </w:rPr>
        <w:fldChar w:fldCharType="begin"/>
      </w:r>
      <w:r>
        <w:rPr>
          <w:sz w:val="28"/>
        </w:rPr>
        <w:instrText xml:space="preserve"> PAGEREF _Toc6204 </w:instrText>
      </w:r>
      <w:r>
        <w:rPr>
          <w:sz w:val="28"/>
        </w:rPr>
        <w:fldChar w:fldCharType="separate"/>
      </w:r>
      <w:r>
        <w:rPr>
          <w:sz w:val="28"/>
        </w:rPr>
        <w:t>77</w:t>
      </w:r>
      <w:r>
        <w:rPr>
          <w:sz w:val="28"/>
        </w:rPr>
        <w:fldChar w:fldCharType="end"/>
      </w:r>
      <w:r>
        <w:rPr>
          <w:sz w:val="28"/>
        </w:rPr>
        <w:fldChar w:fldCharType="end"/>
      </w:r>
    </w:p>
    <w:p>
      <w:pPr>
        <w:pStyle w:val="42"/>
        <w:spacing w:line="240" w:lineRule="auto"/>
        <w:ind w:firstLine="0" w:firstLineChars="0"/>
        <w:jc w:val="left"/>
        <w:rPr>
          <w:rStyle w:val="140"/>
          <w:rFonts w:ascii="Times New Roman" w:hAnsi="Times New Roman"/>
        </w:rPr>
        <w:sectPr>
          <w:pgSz w:w="11906" w:h="16838"/>
          <w:pgMar w:top="1797" w:right="1531" w:bottom="1797" w:left="1531" w:header="851" w:footer="992" w:gutter="0"/>
          <w:pgNumType w:fmt="upperRoman" w:start="1"/>
          <w:cols w:space="720" w:num="1"/>
          <w:docGrid w:linePitch="583" w:charSpace="804"/>
        </w:sectPr>
      </w:pPr>
      <w:r>
        <w:rPr>
          <w:rFonts w:eastAsia="宋体" w:cs="Times New Roman"/>
        </w:rPr>
        <w:fldChar w:fldCharType="end"/>
      </w:r>
    </w:p>
    <w:p>
      <w:pPr>
        <w:pStyle w:val="88"/>
        <w:numPr>
          <w:ilvl w:val="0"/>
          <w:numId w:val="0"/>
        </w:numPr>
        <w:spacing w:before="0" w:after="0" w:line="600" w:lineRule="exact"/>
        <w:jc w:val="center"/>
        <w:rPr>
          <w:rFonts w:ascii="Times New Roman" w:hAnsi="Times New Roman" w:cs="Times New Roman"/>
          <w:bCs w:val="0"/>
        </w:rPr>
      </w:pPr>
      <w:bookmarkStart w:id="0" w:name="_Toc5135"/>
    </w:p>
    <w:p>
      <w:pPr>
        <w:pStyle w:val="88"/>
        <w:numPr>
          <w:ilvl w:val="0"/>
          <w:numId w:val="0"/>
        </w:numPr>
        <w:spacing w:before="0" w:after="0" w:line="600" w:lineRule="exact"/>
        <w:jc w:val="center"/>
        <w:rPr>
          <w:rFonts w:ascii="Times New Roman" w:hAnsi="Times New Roman" w:eastAsia="方正小标宋简体" w:cs="Times New Roman"/>
          <w:b w:val="0"/>
          <w:bCs w:val="0"/>
          <w:sz w:val="44"/>
          <w:szCs w:val="44"/>
        </w:rPr>
      </w:pPr>
      <w:r>
        <w:rPr>
          <w:rFonts w:ascii="Times New Roman" w:hAnsi="Times New Roman" w:eastAsia="方正小标宋简体" w:cs="Times New Roman"/>
          <w:b w:val="0"/>
          <w:bCs w:val="0"/>
          <w:sz w:val="44"/>
          <w:szCs w:val="44"/>
        </w:rPr>
        <w:t>前  言</w:t>
      </w:r>
      <w:bookmarkEnd w:id="0"/>
    </w:p>
    <w:p>
      <w:pPr>
        <w:pStyle w:val="88"/>
        <w:numPr>
          <w:ilvl w:val="0"/>
          <w:numId w:val="0"/>
        </w:numPr>
        <w:spacing w:before="0" w:after="0" w:line="600" w:lineRule="exact"/>
        <w:jc w:val="center"/>
        <w:rPr>
          <w:rFonts w:ascii="Times New Roman" w:hAnsi="Times New Roman" w:cs="Times New Roman"/>
          <w:bCs w:val="0"/>
        </w:rPr>
      </w:pPr>
    </w:p>
    <w:p>
      <w:pPr>
        <w:pStyle w:val="42"/>
        <w:spacing w:line="600" w:lineRule="exact"/>
        <w:rPr>
          <w:rFonts w:cs="Times New Roman"/>
          <w:color w:val="000000"/>
        </w:rPr>
      </w:pPr>
      <w:r>
        <w:rPr>
          <w:rFonts w:cs="Times New Roman"/>
        </w:rPr>
        <w:t>党的十八大报告首次提出“建设海洋强国”，十九大报告进一步提出“加快建设海洋强国”，这在新时代背景下具有重要的现实意义和战略意义，也是实现中华民族伟大复兴的必由之路。随着中国特色社会主义进入新时代</w:t>
      </w:r>
      <w:r>
        <w:rPr>
          <w:rFonts w:cs="Times New Roman"/>
          <w:color w:val="BCBCBC"/>
        </w:rPr>
        <w:t>，</w:t>
      </w:r>
      <w:r>
        <w:rPr>
          <w:rFonts w:cs="Times New Roman"/>
          <w:color w:val="000000"/>
        </w:rPr>
        <w:t>旅游业成为人民美好生活需要的重要内容，并为拉动经济增长、带动转型升级、实现创业创新提供了强劲引擎。发展海岛旅游，是保护海洋、利用海洋和管控海洋综合能力的展现，是解决海洋领域发展不平衡不充分问题的重要途径，是实施国家区域协调发展战略与可持续发展战略的重要抓手，是“一带一路”建设的重要内容，是实施“一核一带一区”战略和粤港澳大湾区建设的重要组成部分。</w:t>
      </w:r>
    </w:p>
    <w:p>
      <w:pPr>
        <w:pStyle w:val="42"/>
        <w:spacing w:line="600" w:lineRule="exact"/>
        <w:rPr>
          <w:rFonts w:cs="Times New Roman"/>
          <w:color w:val="000000"/>
        </w:rPr>
      </w:pPr>
      <w:r>
        <w:rPr>
          <w:rFonts w:cs="Times New Roman"/>
          <w:color w:val="000000"/>
        </w:rPr>
        <w:t>广东发展海岛经济符合国家主张的总体国家安全观和陆海统筹战略布局，符合从浅蓝向深蓝经济发展等战略部署。海岛旅游作为战略性新兴海洋产业将有力拉动广东海洋经济高质量发展，成为海洋开发的桥头堡，打造广东沿海经济带的过程中发挥关键作用。以习近平新时代中国特色社会主义思想和新发展理念为指引，编制《广东省海岛旅游发展总体规划》，是落实建设海洋强国、强省战略的重要举措，是推进广东全域旅游发展和旅游供给侧结构改革的具体行动，对于广东实现“四个走在全国前列”，当好“两个重要窗口”具有重要的意义。</w:t>
      </w:r>
    </w:p>
    <w:p>
      <w:pPr>
        <w:pStyle w:val="88"/>
        <w:numPr>
          <w:ilvl w:val="0"/>
          <w:numId w:val="0"/>
        </w:numPr>
        <w:spacing w:line="600" w:lineRule="exact"/>
        <w:rPr>
          <w:rFonts w:ascii="Times New Roman" w:hAnsi="Times New Roman" w:cs="Times New Roman"/>
          <w:color w:val="000000"/>
          <w:szCs w:val="36"/>
        </w:rPr>
      </w:pPr>
      <w:bookmarkStart w:id="1" w:name="_Toc9166"/>
      <w:bookmarkStart w:id="2" w:name="_Toc467495305"/>
    </w:p>
    <w:p>
      <w:pPr>
        <w:pStyle w:val="88"/>
        <w:numPr>
          <w:ilvl w:val="0"/>
          <w:numId w:val="0"/>
        </w:numPr>
        <w:spacing w:line="600" w:lineRule="exact"/>
        <w:rPr>
          <w:rFonts w:ascii="Times New Roman" w:hAnsi="Times New Roman" w:cs="Times New Roman"/>
          <w:color w:val="000000"/>
          <w:szCs w:val="36"/>
        </w:rPr>
      </w:pPr>
      <w:r>
        <w:rPr>
          <w:rFonts w:ascii="Times New Roman" w:hAnsi="黑体" w:cs="Times New Roman"/>
          <w:color w:val="000000"/>
          <w:szCs w:val="36"/>
        </w:rPr>
        <w:t>一、总</w:t>
      </w:r>
      <w:r>
        <w:rPr>
          <w:rFonts w:ascii="Times New Roman" w:hAnsi="Times New Roman" w:cs="Times New Roman"/>
          <w:color w:val="000000"/>
          <w:szCs w:val="36"/>
        </w:rPr>
        <w:t xml:space="preserve"> </w:t>
      </w:r>
      <w:r>
        <w:rPr>
          <w:rFonts w:ascii="Times New Roman" w:hAnsi="黑体" w:cs="Times New Roman"/>
          <w:color w:val="000000"/>
          <w:szCs w:val="36"/>
        </w:rPr>
        <w:t>则</w:t>
      </w:r>
      <w:bookmarkEnd w:id="1"/>
      <w:bookmarkEnd w:id="2"/>
    </w:p>
    <w:p>
      <w:pPr>
        <w:pStyle w:val="4"/>
        <w:numPr>
          <w:ilvl w:val="0"/>
          <w:numId w:val="0"/>
        </w:numPr>
        <w:spacing w:line="600" w:lineRule="exact"/>
        <w:rPr>
          <w:rFonts w:ascii="Times New Roman" w:cs="Times New Roman"/>
          <w:color w:val="000000"/>
        </w:rPr>
      </w:pPr>
      <w:bookmarkStart w:id="3" w:name="_Toc26906"/>
      <w:r>
        <w:rPr>
          <w:rFonts w:ascii="Times New Roman" w:cs="Times New Roman"/>
          <w:color w:val="000000"/>
        </w:rPr>
        <w:t>（一）宏观背景</w:t>
      </w:r>
      <w:bookmarkEnd w:id="3"/>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1.</w:t>
      </w:r>
      <w:bookmarkStart w:id="4" w:name="_Toc465958391"/>
      <w:bookmarkStart w:id="5" w:name="_Toc467495310"/>
      <w:r>
        <w:rPr>
          <w:rFonts w:ascii="Times New Roman" w:hAnsi="Times New Roman" w:cs="Times New Roman"/>
          <w:color w:val="000000"/>
        </w:rPr>
        <w:t>海岛旅游政策背景</w:t>
      </w:r>
      <w:bookmarkEnd w:id="4"/>
      <w:bookmarkEnd w:id="5"/>
    </w:p>
    <w:p>
      <w:pPr>
        <w:spacing w:line="600" w:lineRule="exact"/>
        <w:ind w:firstLine="640"/>
        <w:rPr>
          <w:color w:val="000000"/>
        </w:rPr>
      </w:pPr>
      <w:r>
        <w:rPr>
          <w:color w:val="000000"/>
        </w:rPr>
        <w:t>我国经济发展进入新时代，对全省海岛旅游的发展提出了新的要求。党的十八大首次提出</w:t>
      </w:r>
      <w:r>
        <w:rPr>
          <w:rFonts w:hint="eastAsia"/>
          <w:color w:val="000000"/>
          <w:lang w:eastAsia="zh-CN"/>
        </w:rPr>
        <w:t>建设</w:t>
      </w:r>
      <w:r>
        <w:rPr>
          <w:color w:val="000000"/>
        </w:rPr>
        <w:t>“海洋强国”；十九大报告进一步提出“加快建设海洋强国”。新时代下，旅游业成为拉动消费、促进经济转型发展的重要产业，《关于促进旅游业改革发展的若干意见》等多项政策的出台为海岛旅游发展提供了重大机遇。广东省高度重视海洋旅游发展，提出将省内主要海岛打造成为国家乃至世界滨海旅游重要目的地的宏伟构想。《广东省海岸带综合保护与利用总体规划》、《广东省沿海经济带综合发展规划（2017-2030年）》、《广东省海洋生态红线》等多项海洋相关规划陆续出台，从海岛保护与利用、海洋主体功能区划、海洋综合开发等方面，为海岛旅游发展提供了创新动力和广阔空间。</w:t>
      </w:r>
    </w:p>
    <w:p>
      <w:pPr>
        <w:pStyle w:val="91"/>
        <w:widowControl w:val="0"/>
        <w:spacing w:line="600" w:lineRule="exact"/>
        <w:rPr>
          <w:rFonts w:ascii="Times New Roman" w:hAnsi="Times New Roman" w:cs="Times New Roman"/>
          <w:color w:val="000000"/>
        </w:rPr>
      </w:pPr>
      <w:bookmarkStart w:id="6" w:name="_Toc465958395"/>
      <w:bookmarkStart w:id="7" w:name="_Toc467495313"/>
      <w:r>
        <w:rPr>
          <w:rFonts w:ascii="Times New Roman" w:hAnsi="Times New Roman" w:cs="Times New Roman"/>
          <w:color w:val="000000"/>
        </w:rPr>
        <w:t>2.海岛旅游发展态势</w:t>
      </w:r>
      <w:bookmarkEnd w:id="6"/>
      <w:bookmarkEnd w:id="7"/>
    </w:p>
    <w:p>
      <w:pPr>
        <w:spacing w:line="600" w:lineRule="exact"/>
        <w:ind w:firstLine="640"/>
        <w:rPr>
          <w:color w:val="000000"/>
        </w:rPr>
      </w:pPr>
      <w:r>
        <w:rPr>
          <w:color w:val="000000"/>
        </w:rPr>
        <w:t>纵观全球，海岛旅游是推动世界旅游发展的重要力量。超过50个国家和地区开展海岛旅游，形成地中海、加勒比海、印度洋海岛、南太平洋海岛、东南亚海岛等五个世界最知名的海岛旅游目的地。全球海岛旅游正向产业化、多元化发展，已形成高端度假驱动、邮轮港口驱动、民风民情驱动等较为成熟的发展模式以及海岛观光、海岛休闲、水上运动等多种旅游产品形式。</w:t>
      </w:r>
    </w:p>
    <w:p>
      <w:pPr>
        <w:spacing w:line="600" w:lineRule="exact"/>
        <w:ind w:firstLine="640"/>
        <w:rPr>
          <w:color w:val="000000"/>
        </w:rPr>
      </w:pPr>
      <w:r>
        <w:rPr>
          <w:color w:val="000000"/>
        </w:rPr>
        <w:t>纵览全国，海岛旅游是海洋旅游的重要组成部分，也是国民旅游消费热点。在建设“21世纪海上丝绸之路”的国家战略背景下，海岛旅游市场日趋成熟壮大，旅游资源开发水平显著提高，旅游产业体系不断完善，海岛旅游地位得到进一步提升。</w:t>
      </w:r>
    </w:p>
    <w:p>
      <w:pPr>
        <w:spacing w:line="600" w:lineRule="exact"/>
        <w:ind w:firstLine="640"/>
        <w:rPr>
          <w:color w:val="000000"/>
        </w:rPr>
      </w:pPr>
      <w:r>
        <w:rPr>
          <w:color w:val="000000"/>
        </w:rPr>
        <w:t>广东海岛旅游形成于上世纪80年代，以海陵岛、上下川岛、南澳岛等为代表开发了海水浴场；上世纪90年代到21世纪初，全省出现海岛旅游热潮，形成了一批著名海岛度假胜地，海岛旅游开始由观光向度假转变；近年“黄金海岸”已发展成为广东旅游的四大品牌之一；未来广东海岛旅游依托珠三角城市群和港澳地区等潜力巨大的旅游市场必将迎来全新发展机遇。</w:t>
      </w:r>
    </w:p>
    <w:p>
      <w:pPr>
        <w:pStyle w:val="4"/>
        <w:numPr>
          <w:ilvl w:val="0"/>
          <w:numId w:val="0"/>
        </w:numPr>
        <w:spacing w:line="600" w:lineRule="exact"/>
        <w:rPr>
          <w:rFonts w:ascii="Times New Roman" w:cs="Times New Roman"/>
          <w:color w:val="000000"/>
        </w:rPr>
      </w:pPr>
      <w:bookmarkStart w:id="8" w:name="_Toc467495306"/>
      <w:bookmarkStart w:id="9" w:name="_Toc4104"/>
      <w:r>
        <w:rPr>
          <w:rFonts w:ascii="Times New Roman" w:cs="Times New Roman"/>
          <w:color w:val="000000"/>
        </w:rPr>
        <w:t>（二）规划范围</w:t>
      </w:r>
      <w:bookmarkEnd w:id="8"/>
      <w:bookmarkEnd w:id="9"/>
    </w:p>
    <w:p>
      <w:pPr>
        <w:spacing w:line="600" w:lineRule="exact"/>
        <w:ind w:firstLine="640"/>
        <w:rPr>
          <w:color w:val="000000"/>
        </w:rPr>
      </w:pPr>
      <w:r>
        <w:rPr>
          <w:color w:val="000000"/>
        </w:rPr>
        <w:t>本规划范围涵盖广东省195个海岛，包括以旅游产业为主导的有居民海岛28个，以及《广东省海岛保护规划（2011-2020年）》中列为休闲旅游用岛的无居民海岛167个。规划范围周边涉及到的部分具有较高休闲旅游开发潜力的农林渔业用岛、公共服务用岛和交通与工业用岛也一并纳入统筹。</w:t>
      </w:r>
    </w:p>
    <w:p>
      <w:pPr>
        <w:pStyle w:val="4"/>
        <w:numPr>
          <w:ilvl w:val="0"/>
          <w:numId w:val="0"/>
        </w:numPr>
        <w:spacing w:line="600" w:lineRule="exact"/>
        <w:rPr>
          <w:rFonts w:ascii="Times New Roman" w:cs="Times New Roman"/>
          <w:color w:val="000000"/>
        </w:rPr>
      </w:pPr>
      <w:bookmarkStart w:id="10" w:name="_Toc31100"/>
      <w:bookmarkStart w:id="11" w:name="_Toc467495307"/>
      <w:r>
        <w:rPr>
          <w:rFonts w:ascii="Times New Roman" w:cs="Times New Roman"/>
          <w:color w:val="000000"/>
        </w:rPr>
        <w:t>（三）规划依据</w:t>
      </w:r>
      <w:bookmarkEnd w:id="10"/>
      <w:bookmarkEnd w:id="11"/>
    </w:p>
    <w:p>
      <w:pPr>
        <w:spacing w:line="600" w:lineRule="exact"/>
        <w:ind w:firstLine="640"/>
        <w:rPr>
          <w:color w:val="000000"/>
        </w:rPr>
      </w:pPr>
      <w:r>
        <w:rPr>
          <w:color w:val="000000"/>
        </w:rPr>
        <w:t>规划依据《中华人民共和国海岛保护法》、《中华人民共和国海域使用管理法》、《中华人民共和国海洋环境保护法》、《中华人民共和国旅游法》、《广东省海岛保护规划（2011-2020年）》、《广东省海岸带综合保护与利用总体规划》、《广东省沿海经济带综合发展规划（2017-2030年）》、《广东省海洋生态红线》、《广东省旅游发展规划（2011-2020）》、《广东省滨海旅游发展规划（2011-2020）》和《广东省海上休闲旅游发展规划（2013-2020）》等国家和地方有关海岛保护与利用的法律法规及上位规划制定。</w:t>
      </w:r>
    </w:p>
    <w:p>
      <w:pPr>
        <w:pStyle w:val="4"/>
        <w:numPr>
          <w:ilvl w:val="0"/>
          <w:numId w:val="0"/>
        </w:numPr>
        <w:spacing w:line="600" w:lineRule="exact"/>
        <w:rPr>
          <w:rFonts w:ascii="Times New Roman" w:cs="Times New Roman"/>
          <w:color w:val="000000"/>
        </w:rPr>
      </w:pPr>
      <w:bookmarkStart w:id="12" w:name="_Toc467495308"/>
      <w:bookmarkStart w:id="13" w:name="_Toc6743"/>
      <w:r>
        <w:rPr>
          <w:rFonts w:ascii="Times New Roman" w:cs="Times New Roman"/>
          <w:color w:val="000000"/>
        </w:rPr>
        <w:t>（四）规划期限</w:t>
      </w:r>
      <w:bookmarkEnd w:id="12"/>
      <w:bookmarkEnd w:id="13"/>
    </w:p>
    <w:p>
      <w:pPr>
        <w:spacing w:line="600" w:lineRule="exact"/>
        <w:ind w:firstLine="640"/>
        <w:rPr>
          <w:color w:val="000000"/>
        </w:rPr>
      </w:pPr>
      <w:r>
        <w:rPr>
          <w:color w:val="000000"/>
        </w:rPr>
        <w:t>规划期限为2017-2030年，其中近期为2017-2020年，中远期为2021-2030年。</w:t>
      </w:r>
    </w:p>
    <w:p>
      <w:pPr>
        <w:spacing w:line="600" w:lineRule="exact"/>
        <w:ind w:firstLine="640"/>
        <w:rPr>
          <w:color w:val="000000"/>
        </w:rPr>
      </w:pPr>
    </w:p>
    <w:p>
      <w:pPr>
        <w:pStyle w:val="88"/>
        <w:numPr>
          <w:ilvl w:val="0"/>
          <w:numId w:val="0"/>
        </w:numPr>
        <w:spacing w:line="600" w:lineRule="exact"/>
        <w:jc w:val="both"/>
        <w:rPr>
          <w:rFonts w:ascii="Times New Roman" w:hAnsi="Times New Roman" w:cs="Times New Roman"/>
          <w:color w:val="000000"/>
        </w:rPr>
      </w:pPr>
      <w:bookmarkStart w:id="14" w:name="_Toc30798"/>
      <w:bookmarkStart w:id="15" w:name="_Toc467495309"/>
      <w:r>
        <w:rPr>
          <w:rFonts w:ascii="Times New Roman" w:hAnsi="Times New Roman" w:cs="Times New Roman"/>
          <w:color w:val="000000"/>
        </w:rPr>
        <w:t>二、发展基础</w:t>
      </w:r>
      <w:bookmarkEnd w:id="14"/>
    </w:p>
    <w:bookmarkEnd w:id="15"/>
    <w:p>
      <w:pPr>
        <w:pStyle w:val="4"/>
        <w:numPr>
          <w:ilvl w:val="0"/>
          <w:numId w:val="0"/>
        </w:numPr>
        <w:spacing w:line="600" w:lineRule="exact"/>
        <w:jc w:val="both"/>
        <w:rPr>
          <w:rFonts w:ascii="Times New Roman" w:cs="Times New Roman"/>
          <w:color w:val="000000"/>
        </w:rPr>
      </w:pPr>
      <w:bookmarkStart w:id="16" w:name="_Toc467495314"/>
      <w:bookmarkStart w:id="17" w:name="_Toc21573"/>
      <w:r>
        <w:rPr>
          <w:rFonts w:ascii="Times New Roman" w:cs="Times New Roman"/>
          <w:color w:val="000000"/>
        </w:rPr>
        <w:t>（一）旅游资源</w:t>
      </w:r>
      <w:bookmarkEnd w:id="16"/>
      <w:r>
        <w:rPr>
          <w:rFonts w:ascii="Times New Roman" w:cs="Times New Roman"/>
          <w:color w:val="000000"/>
        </w:rPr>
        <w:t>条件</w:t>
      </w:r>
      <w:bookmarkEnd w:id="17"/>
    </w:p>
    <w:p>
      <w:pPr>
        <w:pStyle w:val="91"/>
        <w:widowControl w:val="0"/>
        <w:spacing w:line="600" w:lineRule="exact"/>
        <w:jc w:val="both"/>
        <w:rPr>
          <w:rFonts w:ascii="Times New Roman" w:hAnsi="Times New Roman" w:cs="Times New Roman"/>
          <w:color w:val="000000"/>
        </w:rPr>
      </w:pPr>
      <w:r>
        <w:rPr>
          <w:rFonts w:ascii="Times New Roman" w:hAnsi="Times New Roman" w:cs="Times New Roman"/>
          <w:color w:val="000000"/>
        </w:rPr>
        <w:t>1.广东海岛总体概况</w:t>
      </w:r>
    </w:p>
    <w:p>
      <w:pPr>
        <w:spacing w:line="600" w:lineRule="exact"/>
        <w:ind w:firstLine="640"/>
        <w:rPr>
          <w:color w:val="000000"/>
        </w:rPr>
      </w:pPr>
      <w:r>
        <w:rPr>
          <w:color w:val="000000"/>
        </w:rPr>
        <w:t>全省14个沿海地级市共有海岛1963个，总面积1513.17平方千米，海岛岸线总长2378.13千米。其中，90%以上的海岛为无居民海岛，面积小于500平方米的海岛占50%以上，离岸距离小于1千米的海岛占近50%。全省有居民海岛户籍人口约67万人，常住人口约26万人。</w:t>
      </w:r>
    </w:p>
    <w:p>
      <w:pPr>
        <w:spacing w:line="600" w:lineRule="exact"/>
        <w:ind w:firstLine="640"/>
        <w:rPr>
          <w:color w:val="000000"/>
        </w:rPr>
      </w:pPr>
      <w:r>
        <w:rPr>
          <w:color w:val="000000"/>
        </w:rPr>
        <w:t>我省海岛主要分布在亚热带南部和热带北部海域。海岛生物种类繁多，不同类型的岛体、岛岸线、植被和周边各种生物群落和非生物环境共同构成了具有南海特色且相对独立的海岛生态系统。一些海岛还具有珊瑚礁、红树林、海草床等典型生态系统。海岛及其周边海域自然与人文资源丰富，珠江口的海岛毗邻港澳，区位优势突出，海岛保护与利用条件优越，开发潜力巨大。</w:t>
      </w:r>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2.广东近岸海域环境概况</w:t>
      </w:r>
    </w:p>
    <w:p>
      <w:pPr>
        <w:spacing w:line="600" w:lineRule="exact"/>
        <w:ind w:firstLine="640"/>
        <w:rPr>
          <w:color w:val="000000"/>
        </w:rPr>
      </w:pPr>
      <w:r>
        <w:rPr>
          <w:color w:val="000000"/>
        </w:rPr>
        <w:t>海岛旅游开发受海洋环境、自然环境、气候天象等条件以及海岛周边海域环境的影响和制约。广东省近岸海域水质大部分为清洁或较清洁，沉积物质量总体良好，监测的河口、海湾和近岸海域海洋生物多样性、海洋保护区和海洋公园的生态状况基本稳定，为广东省海岛旅游发展提供了良好的环境条件。但珠江口等部分近岸海域的入海排污超标、赤潮（绿潮）等问题依然较为突出，一定程度上制约了海岛旅游的发展。</w:t>
      </w:r>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3.广东海岛旅游开发价值评价</w:t>
      </w:r>
    </w:p>
    <w:p>
      <w:pPr>
        <w:spacing w:line="600" w:lineRule="exact"/>
        <w:ind w:firstLine="640"/>
        <w:rPr>
          <w:color w:val="000000"/>
        </w:rPr>
      </w:pPr>
      <w:r>
        <w:rPr>
          <w:color w:val="000000"/>
        </w:rPr>
        <w:t>我省海岛旅游资源数量多，类型丰富。本规划涉及的195个旅游海岛均属于岛区类旅游资源，海岛上复合型的旅游资源可再细分为8个大类、14个中类、29个小类，共计1041项。有居民海岛的旅游资源类型主要为建筑与设施类，无居民海岛的旅游资源类型主要为水域风光类与生物景观类。我省海岛旅游资源中，以沙滩、海域和森林为代表的海岛风光资源，以海上丝绸之路和海洋国防军事遗址为代表的历史文化资源，以红树林、珊瑚、猕猴和鸟类为代表的海岛生态资源，以渔村渔港和现代海洋娱乐设施为代表的人文活动资源尤为突出。</w:t>
      </w:r>
    </w:p>
    <w:p>
      <w:pPr>
        <w:spacing w:line="240" w:lineRule="auto"/>
        <w:ind w:firstLine="0" w:firstLineChars="0"/>
        <w:jc w:val="center"/>
        <w:rPr>
          <w:color w:val="000000"/>
        </w:rPr>
      </w:pPr>
      <w:r>
        <w:rPr>
          <w:rFonts w:ascii="Times New Roman" w:hAnsi="Times New Roman" w:eastAsia="仿宋" w:cs="Times New Roman"/>
          <w:color w:val="000000"/>
          <w:kern w:val="2"/>
          <w:sz w:val="32"/>
          <w:szCs w:val="24"/>
          <w:lang w:val="en-US" w:eastAsia="zh-CN" w:bidi="ar-SA"/>
        </w:rPr>
        <w:pict>
          <v:shape id="图片 2" o:spid="_x0000_s1026" type="#_x0000_t75" style="height:174.5pt;width:447.6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0" w:firstLineChars="0"/>
        <w:jc w:val="center"/>
        <w:rPr>
          <w:rStyle w:val="146"/>
          <w:rFonts w:ascii="Times New Roman" w:hAnsi="Times New Roman" w:cs="Times New Roman"/>
          <w:color w:val="000000"/>
        </w:rPr>
      </w:pPr>
      <w:r>
        <w:rPr>
          <w:rStyle w:val="146"/>
          <w:rFonts w:ascii="Times New Roman" w:hAnsi="Times New Roman" w:cs="Times New Roman"/>
          <w:color w:val="000000"/>
        </w:rPr>
        <w:t>图2-1 广东海岛旅游资源分类统计</w:t>
      </w:r>
    </w:p>
    <w:p>
      <w:pPr>
        <w:spacing w:line="600" w:lineRule="exact"/>
        <w:ind w:firstLine="640"/>
        <w:rPr>
          <w:color w:val="000000"/>
        </w:rPr>
      </w:pPr>
      <w:r>
        <w:rPr>
          <w:color w:val="000000"/>
        </w:rPr>
        <w:t>我省高等级海岛旅游资源众多。广东各地海岛美食、横琴岛长隆海洋王国和海陵岛南海一号3项五级旅游资源具有国际影响力，南澳岛沙滩、庙湾岛珊瑚栖息地、威远岛虎门炮台等71项四级旅游资源具有全国影响力，水东湾红树林湿地公园、汛洲岛鸟类栖息地、硇洲岛宋代皇城、猎屿古战场、放鸡岛度假区等358项三级旅游资源在省内具有影响力。</w:t>
      </w:r>
    </w:p>
    <w:p>
      <w:pPr>
        <w:spacing w:line="600" w:lineRule="exact"/>
        <w:ind w:firstLine="640"/>
        <w:rPr>
          <w:color w:val="000000"/>
        </w:rPr>
      </w:pPr>
      <w:r>
        <w:rPr>
          <w:color w:val="000000"/>
        </w:rPr>
        <w:t>综合海岛开发条件、旅游资源条件、旅游市场条件与其它限制条件，全省旅游开发价值较大的海岛主要包括海陵岛、南澳岛、横琴岛、海鸥岛、海山岛、淇澳岛、下川岛、上川岛、威远岛、南三岛等有居民海岛，也包括庙湾岛、放鸡岛、惠东三角洲、大辣甲、猎屿、上横挡岛、龟龄岛、赖氏洲、遮浪岩、南鹏岛和小万山岛等无居民海岛。</w:t>
      </w:r>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4.广东海岛旅游资源区域特征</w:t>
      </w:r>
    </w:p>
    <w:p>
      <w:pPr>
        <w:spacing w:line="600" w:lineRule="exact"/>
        <w:ind w:firstLine="640"/>
        <w:rPr>
          <w:color w:val="000000"/>
        </w:rPr>
      </w:pPr>
      <w:r>
        <w:rPr>
          <w:color w:val="000000"/>
        </w:rPr>
        <w:t>广东海岛旅游资源在空间上呈现粤中多、粤东密、粤西精的特点。粤中地区海岛旅游资源集中分布在珠江口及其两侧，海岛数量众多，旅游开发价值普遍较高，尤以珠海、惠州和江门最为突出。粤东地区岛礁密集，且多离岸较近，呈现近岸岛链的独特景观，以汕尾与汕头较为突出。粤西地区岛屿数量较少，但岛屿面积大、有居民海岛多、海域环境优越，适宜旅游开发，以阳江与湛江较突出。</w:t>
      </w:r>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5.广东海岛旅游资源空间聚合特征</w:t>
      </w:r>
    </w:p>
    <w:p>
      <w:pPr>
        <w:spacing w:line="600" w:lineRule="exact"/>
        <w:ind w:firstLine="640"/>
        <w:rPr>
          <w:color w:val="000000"/>
        </w:rPr>
      </w:pPr>
      <w:r>
        <w:rPr>
          <w:color w:val="000000"/>
        </w:rPr>
        <w:t>广东旅游海岛呈现岛岸型、“大+小”型、岛群型和独岛型4种空间聚合形式。岛岸型海岛有99个，包括有居民海岛14个，无居民海岛85个，离陆地距离普遍在2公里以内，最易开发，以横琴岛、遮浪岩等为代表。“大+小”型海岛有59个，包括有居民海岛14个，无居民海岛45个，该类型的海岛离陆地较远，无居民的小岛靠近有居民的大岛形成组团，较易开发，以海陵岛组团、上下川岛组团、南澳岛组团最为典型。岛群型海岛有30个，均为无居民海岛，离陆地较远，由多个小岛成群分布形成组团，其开发有一定难度，以珠海庙湾岛组团、惠州大辣甲组团等为代表。独岛型海岛有7个，均为无居民海岛，独立分布且离岸较远，开发难度较大，多位于粤西，以放鸡岛、赤豆寮为代表。</w:t>
      </w:r>
    </w:p>
    <w:p>
      <w:pPr>
        <w:pStyle w:val="4"/>
        <w:numPr>
          <w:ilvl w:val="0"/>
          <w:numId w:val="0"/>
        </w:numPr>
        <w:spacing w:line="600" w:lineRule="exact"/>
        <w:rPr>
          <w:rFonts w:ascii="Times New Roman" w:cs="Times New Roman"/>
          <w:color w:val="000000"/>
        </w:rPr>
      </w:pPr>
      <w:bookmarkStart w:id="18" w:name="_Toc30847"/>
      <w:r>
        <w:rPr>
          <w:rFonts w:ascii="Times New Roman" w:cs="Times New Roman"/>
          <w:color w:val="000000"/>
        </w:rPr>
        <w:t>（二）旅游市场分析</w:t>
      </w:r>
      <w:bookmarkEnd w:id="18"/>
    </w:p>
    <w:p>
      <w:pPr>
        <w:pStyle w:val="91"/>
        <w:widowControl w:val="0"/>
        <w:spacing w:line="600" w:lineRule="exact"/>
        <w:rPr>
          <w:rFonts w:ascii="Times New Roman" w:hAnsi="Times New Roman" w:cs="Times New Roman"/>
          <w:color w:val="000000"/>
        </w:rPr>
      </w:pPr>
      <w:r>
        <w:rPr>
          <w:rFonts w:ascii="Times New Roman" w:hAnsi="Times New Roman" w:cs="Times New Roman"/>
          <w:color w:val="000000"/>
        </w:rPr>
        <w:t>1.广东海岛旅游市场特征</w:t>
      </w:r>
    </w:p>
    <w:p>
      <w:pPr>
        <w:spacing w:line="600" w:lineRule="exact"/>
        <w:ind w:firstLine="640"/>
        <w:rPr>
          <w:color w:val="000000"/>
        </w:rPr>
      </w:pPr>
      <w:r>
        <w:rPr>
          <w:color w:val="000000"/>
        </w:rPr>
        <w:t>我省海岛旅游市场需求旺盛，14个沿海城市是我省海岛旅游的主要载体，旅游发展迅猛，相关旅游指标连年增长。</w:t>
      </w:r>
    </w:p>
    <w:p>
      <w:pPr>
        <w:spacing w:line="600" w:lineRule="exact"/>
        <w:ind w:firstLine="640"/>
        <w:rPr>
          <w:color w:val="000000"/>
        </w:rPr>
      </w:pPr>
      <w:r>
        <w:rPr>
          <w:color w:val="000000"/>
        </w:rPr>
        <w:t>沿海14个地市的过夜游客接待人数从2010的1.6亿人次增加到2015年的2.8亿人次，年均增速11.8%。其中，珠三角滨海城市是发展的重心，2015年接待过夜游客2.0亿人次，占全省滨海城市接待过夜游客总数的71%；粤东、粤西滨海城市则是增长的主力，2010-2015年接待过夜游客数年均增长率分别为20%和23%。</w:t>
      </w:r>
    </w:p>
    <w:p>
      <w:pPr>
        <w:spacing w:line="600" w:lineRule="exact"/>
        <w:ind w:firstLine="640"/>
        <w:rPr>
          <w:color w:val="000000"/>
        </w:rPr>
      </w:pPr>
      <w:r>
        <w:rPr>
          <w:color w:val="000000"/>
        </w:rPr>
        <w:t>沿海14个地市的旅游收入从2010年的3093亿元增加到2015年的7041亿元，占全省旅游总收入的78%，5年内增加128%，年均增长速度高达18%。据省旅游协会估计，2014年全省滨海旅游产值占全省海洋产业增加值的比重超过1/3；据省海洋局的数据，2015年全省滨海旅游业增加值2414亿元，占全省海洋生产总值（1.38万亿元）的17.49%。</w:t>
      </w:r>
    </w:p>
    <w:p>
      <w:pPr>
        <w:spacing w:line="600" w:lineRule="exact"/>
        <w:ind w:firstLine="640"/>
      </w:pPr>
      <w:r>
        <w:rPr>
          <w:color w:val="000000"/>
        </w:rPr>
        <w:t>多个代表性海岛旅游发展表现突出。珠海横琴岛2016年接待游客数量1400万人次，旅游总收入近15亿元；深圳大鹏半岛2015年接待游客突破1000万人次；阳江海</w:t>
      </w:r>
      <w:r>
        <w:t>陵岛2016 年接待国内外游客801.2万人次，旅游总收入 54.5亿元；汕头南澳岛，自2015年南澳大桥年正式通车后，旅游呈现井喷式发展，当年进岛旅游人次达到了 455.6万，同比增长383%，旅游综合收入预计12.2亿元，同比增长 187.4%，2016 年南澳岛全年旅游综合收入预计达14.5亿元，同比增长19.3%；汕尾红海湾海岛游2015年接待游客约174.9万人次，旅游总收入10.2亿元；江门川岛2015年共接待游客116.6万人次，旅游总收入达6.76亿元，同比增长4%。</w:t>
      </w:r>
    </w:p>
    <w:p>
      <w:pPr>
        <w:pStyle w:val="91"/>
        <w:widowControl w:val="0"/>
        <w:spacing w:line="600" w:lineRule="exact"/>
        <w:rPr>
          <w:rFonts w:ascii="Times New Roman" w:hAnsi="Times New Roman" w:cs="Times New Roman"/>
        </w:rPr>
      </w:pPr>
      <w:r>
        <w:rPr>
          <w:rFonts w:ascii="Times New Roman" w:hAnsi="Times New Roman" w:cs="Times New Roman"/>
        </w:rPr>
        <w:t>2.广东海岛客源市场特征</w:t>
      </w:r>
    </w:p>
    <w:p>
      <w:pPr>
        <w:spacing w:line="600" w:lineRule="exact"/>
        <w:ind w:firstLine="640"/>
        <w:rPr>
          <w:bCs/>
        </w:rPr>
      </w:pPr>
      <w:r>
        <w:rPr>
          <w:bCs/>
        </w:rPr>
        <w:t>我国海岛旅游市场特征明显。出境海岛旅游游客主要来自国内经济较发达地区，最青睐亚洲海岛，游客花费高、停留时间长；国内海岛旅游则以东部及东南沿海的近程海岛休闲市场为主，目前旅游消费较低，停留时间较短。</w:t>
      </w:r>
    </w:p>
    <w:p>
      <w:pPr>
        <w:spacing w:line="600" w:lineRule="exact"/>
        <w:ind w:firstLine="640"/>
      </w:pPr>
      <w:r>
        <w:t>市场调查显示，我省最受欢迎的海岛旅游目的地集中在珠江口地区（横琴岛、海陵岛、巽寮湾、上下川岛、外伶仃岛、威远岛、大辣甲）、潮汕地区（南澳岛）以及湛江市（东海岛、南三岛）等。游客来源以省内游客为主，广州是广东省内最大客源城市；深圳、东莞、珠海等珠江三角城市群是省内重要的客源地。省外游客主要来自北京、上海等一线城市；京广铁路的带动作用明显，沿线湖南、河北、河南等市场正在崛起。</w:t>
      </w:r>
    </w:p>
    <w:p>
      <w:pPr>
        <w:spacing w:beforeLines="80" w:line="240" w:lineRule="auto"/>
        <w:ind w:firstLine="0" w:firstLineChars="0"/>
        <w:rPr>
          <w:rStyle w:val="146"/>
          <w:rFonts w:ascii="Times New Roman" w:hAnsi="Times New Roman" w:cs="Times New Roman"/>
        </w:rPr>
      </w:pPr>
      <w:r>
        <w:rPr>
          <w:rFonts w:ascii="Times New Roman" w:hAnsi="Times New Roman" w:eastAsia="仿宋" w:cs="Times New Roman"/>
          <w:kern w:val="2"/>
          <w:sz w:val="32"/>
          <w:szCs w:val="24"/>
          <w:lang w:val="en-US" w:eastAsia="zh-CN" w:bidi="ar-SA"/>
        </w:rPr>
        <w:pict>
          <v:shape id="图片 1" o:spid="_x0000_s1027" type="#_x0000_t75" style="height:230.85pt;width:43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600" w:lineRule="exact"/>
        <w:ind w:firstLine="0" w:firstLineChars="0"/>
        <w:jc w:val="center"/>
        <w:rPr>
          <w:rStyle w:val="146"/>
          <w:rFonts w:ascii="Times New Roman" w:hAnsi="Times New Roman" w:cs="Times New Roman"/>
        </w:rPr>
      </w:pPr>
      <w:r>
        <w:rPr>
          <w:rStyle w:val="146"/>
          <w:rFonts w:ascii="Times New Roman" w:hAnsi="Times New Roman" w:cs="Times New Roman"/>
        </w:rPr>
        <w:t>图2-2 广东海岛旅游目的地热力图</w:t>
      </w:r>
    </w:p>
    <w:p>
      <w:pPr>
        <w:spacing w:line="600" w:lineRule="exact"/>
        <w:ind w:firstLine="0" w:firstLineChars="0"/>
        <w:jc w:val="center"/>
      </w:pPr>
    </w:p>
    <w:p>
      <w:pPr>
        <w:spacing w:line="600" w:lineRule="exact"/>
        <w:ind w:firstLine="640"/>
      </w:pPr>
      <w:r>
        <w:t>基于大数据的市场需求挖掘分析结果显示：传统滨海旅游3S要素（阳光、海岸、沙滩），以及3S的延伸要素（礁石、海风、海浪等）仍然是海岛旅游的核心吸引力。海鲜美食是海岛旅游第二大吸引力，游客对海鲜质量、烹饪方法和就餐环境/时间等关注度很高。海岛浪漫氛围是海岛第三大吸引力，游客关注的能营造浪漫氛围的活动主要包括观看日出日落、月亮星辰、蓝天白云等海岛天像景观，以及散步、燃放烟火/孔明灯等沙滩活动和游泳、海钓等海上运动项目。另外，潜水、海岛骑行、海洋游乐园、海岛温泉等旅游需求正在形成并强化。目前，我省大部分海岛旅游产品着力于传统滨海要素，对于海鲜美食、浪漫氛围和海岛度假活动等市场需求挖掘不足，市场需求与产品供给不匹配。</w:t>
      </w:r>
    </w:p>
    <w:p>
      <w:pPr>
        <w:spacing w:line="240" w:lineRule="auto"/>
        <w:ind w:firstLine="0" w:firstLineChars="0"/>
        <w:jc w:val="center"/>
      </w:pPr>
      <w:r>
        <w:rPr>
          <w:rFonts w:ascii="Times New Roman" w:hAnsi="Times New Roman" w:eastAsia="仿宋" w:cs="Times New Roman"/>
          <w:kern w:val="2"/>
          <w:sz w:val="32"/>
          <w:szCs w:val="24"/>
          <w:lang w:val="en-US" w:eastAsia="zh-CN" w:bidi="ar-SA"/>
        </w:rPr>
        <w:pict>
          <v:shape id="图片 23" o:spid="_x0000_s1028" type="#_x0000_t75" style="height:270.85pt;width:397.85pt;rotation:0f;" o:ole="f" fillcolor="#FFFFFF" filled="f" o:preferrelative="t" stroked="f" coordorigin="0,0" coordsize="21600,21600">
            <v:fill on="f" color2="#FFFFFF" focus="0%"/>
            <v:imagedata cropright="398f" gain="65536f" blacklevel="0f" gamma="0" o:title="" r:id="rId13"/>
            <o:lock v:ext="edit" position="f" selection="f" grouping="f" rotation="f" cropping="f" text="f" aspectratio="t"/>
            <w10:wrap type="none"/>
            <w10:anchorlock/>
          </v:shape>
        </w:pict>
      </w:r>
    </w:p>
    <w:p>
      <w:pPr>
        <w:spacing w:line="600" w:lineRule="exact"/>
        <w:ind w:firstLine="0" w:firstLineChars="0"/>
        <w:jc w:val="center"/>
        <w:rPr>
          <w:rStyle w:val="146"/>
          <w:rFonts w:ascii="Times New Roman" w:hAnsi="Times New Roman" w:cs="Times New Roman"/>
        </w:rPr>
      </w:pPr>
      <w:r>
        <w:rPr>
          <w:rStyle w:val="146"/>
          <w:rFonts w:ascii="Times New Roman" w:hAnsi="Times New Roman" w:cs="Times New Roman"/>
        </w:rPr>
        <w:t>图2-3 广东海岛游客活动语义分析</w:t>
      </w:r>
    </w:p>
    <w:p>
      <w:pPr>
        <w:pStyle w:val="91"/>
        <w:widowControl w:val="0"/>
        <w:spacing w:line="600" w:lineRule="exact"/>
        <w:rPr>
          <w:rFonts w:ascii="Times New Roman" w:hAnsi="Times New Roman" w:cs="Times New Roman"/>
        </w:rPr>
      </w:pPr>
      <w:r>
        <w:rPr>
          <w:rFonts w:ascii="Times New Roman" w:hAnsi="Times New Roman" w:cs="Times New Roman"/>
        </w:rPr>
        <w:t>3.广东海岛市场偏好</w:t>
      </w:r>
    </w:p>
    <w:p>
      <w:pPr>
        <w:spacing w:line="600" w:lineRule="exact"/>
        <w:ind w:firstLine="640"/>
      </w:pPr>
      <w:r>
        <w:t>个性民宿和精品度假酒店是广东海岛旅游市场最受欢迎的住宿形式，两者占比超过60%。其次为连锁快捷酒店、标准星级酒店以及乡村农家乐，部分游客愿意选择帐篷露营地和自驾营地过夜。住宿消费意愿以中端消费为主，愿意选择三星级酒店入住的游客最多，选择五星级酒店和一星级酒店的游客较少。</w:t>
      </w:r>
    </w:p>
    <w:p>
      <w:pPr>
        <w:spacing w:line="600" w:lineRule="exact"/>
        <w:ind w:firstLine="640"/>
        <w:rPr>
          <w:sz w:val="36"/>
          <w:szCs w:val="36"/>
        </w:rPr>
      </w:pPr>
      <w:r>
        <w:t>交通工具方面</w:t>
      </w:r>
      <w:r>
        <w:rPr>
          <w:sz w:val="36"/>
          <w:szCs w:val="36"/>
        </w:rPr>
        <w:t>，喜欢自驾出行的游客最多，其次是高铁和飞机等公共快捷交通方式，愿意选择普通火车出行的游客不多。水上交通是海岛旅游的特色，游船游艇市场潜力较大，邮轮市场有待培育。</w:t>
      </w:r>
    </w:p>
    <w:p>
      <w:pPr>
        <w:spacing w:line="600" w:lineRule="exact"/>
        <w:ind w:firstLine="640"/>
      </w:pPr>
      <w:r>
        <w:t>超过80%的游客愿意购买土特产和有当地特色的文创商品，但单价支付意愿集中于50元以下。目前，我省海岛旅游缺乏能促使游客多频次多数量购买、价格实惠、有纪念意义的旅游商品。</w:t>
      </w:r>
    </w:p>
    <w:p>
      <w:pPr>
        <w:pStyle w:val="4"/>
        <w:numPr>
          <w:ilvl w:val="0"/>
          <w:numId w:val="0"/>
        </w:numPr>
        <w:spacing w:line="600" w:lineRule="exact"/>
        <w:rPr>
          <w:rFonts w:ascii="Times New Roman" w:cs="Times New Roman"/>
        </w:rPr>
      </w:pPr>
      <w:bookmarkStart w:id="19" w:name="_Toc22112"/>
      <w:r>
        <w:rPr>
          <w:rFonts w:ascii="Times New Roman" w:cs="Times New Roman"/>
        </w:rPr>
        <w:t>（三）问题与挑战</w:t>
      </w:r>
      <w:bookmarkEnd w:id="19"/>
    </w:p>
    <w:p>
      <w:pPr>
        <w:pStyle w:val="42"/>
        <w:spacing w:line="600" w:lineRule="exact"/>
        <w:rPr>
          <w:rFonts w:cs="Times New Roman"/>
        </w:rPr>
      </w:pPr>
      <w:bookmarkStart w:id="20" w:name="_Toc467495326"/>
      <w:r>
        <w:rPr>
          <w:rFonts w:cs="Times New Roman"/>
        </w:rPr>
        <w:t>第一，如何通过供给侧改革，将优质丰富的资源优势转化为产品优势，从而满足旺盛的旅游市场需求，实现旅游产品供给与市场需求的精准匹配。</w:t>
      </w:r>
    </w:p>
    <w:p>
      <w:pPr>
        <w:pStyle w:val="42"/>
        <w:spacing w:line="600" w:lineRule="exact"/>
        <w:rPr>
          <w:rFonts w:cs="Times New Roman"/>
        </w:rPr>
      </w:pPr>
      <w:r>
        <w:rPr>
          <w:rFonts w:cs="Times New Roman"/>
        </w:rPr>
        <w:t>第二，气候对旅游发展的限制。广东所处的亚热带气候条件限制了海岛旅游的发展，冬季不宜下水；夏季虽然是旅游旺季，但又易受到台风等自然灾害的不利影响。</w:t>
      </w:r>
    </w:p>
    <w:p>
      <w:pPr>
        <w:pStyle w:val="42"/>
        <w:spacing w:line="600" w:lineRule="exact"/>
        <w:rPr>
          <w:rFonts w:cs="Times New Roman"/>
        </w:rPr>
      </w:pPr>
      <w:r>
        <w:rPr>
          <w:rFonts w:cs="Times New Roman"/>
        </w:rPr>
        <w:t>第三，海洋污染问题和环境可持续发展的挑战。广东近岸海域及主要河口生态环境问题较为突出，部分典型海洋生态系统受损较为严重，部分岛屿生态系统脆弱且不可复制，平衡旅游开发和生态保护之间的矛盾是广东海岛旅游开发的重大挑战。</w:t>
      </w:r>
    </w:p>
    <w:p>
      <w:pPr>
        <w:pStyle w:val="42"/>
        <w:spacing w:line="600" w:lineRule="exact"/>
        <w:rPr>
          <w:rFonts w:cs="Times New Roman"/>
        </w:rPr>
      </w:pPr>
      <w:r>
        <w:rPr>
          <w:rFonts w:cs="Times New Roman"/>
        </w:rPr>
        <w:t>第四，面临激烈的市场竞争。广东海岛旅游宣传力度不够，主要客源地为省内，缺乏国内国际知名的旅游目的地品牌海岛。</w:t>
      </w:r>
    </w:p>
    <w:p>
      <w:pPr>
        <w:pStyle w:val="42"/>
        <w:spacing w:line="600" w:lineRule="exact"/>
        <w:rPr>
          <w:rFonts w:cs="Times New Roman"/>
        </w:rPr>
      </w:pPr>
      <w:r>
        <w:rPr>
          <w:rFonts w:cs="Times New Roman"/>
        </w:rPr>
        <w:t>第五，海岛旅游基础设施建设薄弱，缺乏统一规划和管理，私自开发、重复建设等问题较为突出。交通通达度不足，不能满足海岛旅游发展需求。</w:t>
      </w:r>
    </w:p>
    <w:p>
      <w:pPr>
        <w:pStyle w:val="42"/>
        <w:spacing w:line="600" w:lineRule="exact"/>
        <w:rPr>
          <w:rFonts w:cs="Times New Roman"/>
        </w:rPr>
      </w:pPr>
      <w:r>
        <w:rPr>
          <w:rFonts w:cs="Times New Roman"/>
        </w:rPr>
        <w:t>第六，复杂的权属问题。广东海岛地处中国东南沿海，与国防安全问题密切相关，其归属和管理机构涉及军事、国土、林业等多部门，给旅游开发带来一定的困难。</w:t>
      </w:r>
    </w:p>
    <w:p>
      <w:pPr>
        <w:pStyle w:val="42"/>
        <w:spacing w:line="600" w:lineRule="exact"/>
        <w:rPr>
          <w:rFonts w:cs="Times New Roman"/>
        </w:rPr>
      </w:pPr>
    </w:p>
    <w:p>
      <w:pPr>
        <w:pStyle w:val="88"/>
        <w:numPr>
          <w:ilvl w:val="0"/>
          <w:numId w:val="0"/>
        </w:numPr>
        <w:spacing w:line="600" w:lineRule="exact"/>
        <w:rPr>
          <w:rFonts w:ascii="Times New Roman" w:hAnsi="Times New Roman" w:cs="Times New Roman"/>
        </w:rPr>
      </w:pPr>
      <w:bookmarkStart w:id="21" w:name="_Toc17470"/>
      <w:r>
        <w:rPr>
          <w:rFonts w:ascii="Times New Roman" w:hAnsi="Times New Roman" w:cs="Times New Roman"/>
        </w:rPr>
        <w:t>三、总体要求</w:t>
      </w:r>
      <w:bookmarkEnd w:id="20"/>
      <w:bookmarkEnd w:id="21"/>
    </w:p>
    <w:p>
      <w:pPr>
        <w:pStyle w:val="4"/>
        <w:numPr>
          <w:ilvl w:val="0"/>
          <w:numId w:val="0"/>
        </w:numPr>
        <w:spacing w:line="600" w:lineRule="exact"/>
        <w:rPr>
          <w:rFonts w:ascii="Times New Roman" w:cs="Times New Roman"/>
        </w:rPr>
      </w:pPr>
      <w:bookmarkStart w:id="22" w:name="_Toc472287742"/>
      <w:bookmarkStart w:id="23" w:name="_Toc28309"/>
      <w:bookmarkStart w:id="24" w:name="_Toc467495327"/>
      <w:r>
        <w:rPr>
          <w:rFonts w:ascii="Times New Roman" w:cs="Times New Roman"/>
        </w:rPr>
        <w:t>（一）指导思想</w:t>
      </w:r>
      <w:bookmarkEnd w:id="22"/>
      <w:bookmarkEnd w:id="23"/>
    </w:p>
    <w:bookmarkEnd w:id="24"/>
    <w:p>
      <w:pPr>
        <w:spacing w:line="600" w:lineRule="exact"/>
        <w:ind w:firstLine="640"/>
        <w:rPr>
          <w:szCs w:val="20"/>
        </w:rPr>
      </w:pPr>
      <w:r>
        <w:rPr>
          <w:szCs w:val="20"/>
        </w:rPr>
        <w:t>全面贯彻党的十九大精神，以习近平新时代中国特色社会主义思想为指引，深入贯彻习近平总书记重要讲话精神，按照“五位一体”总体布局和“四个全面”战略布局，坚持新发展理念，深入贯彻实施《中华人民共和国海岛保护法》，围绕实施“一核一带一区”战略，统筹全省海岛资源保护与开发建设，提升海岛旅游资源保护水平，加快海岛旅游资源整合利用，健全海岛旅游管理保障体制，积极探索海岛旅游创新和政策先行先试，推动广东省海岛旅游科学有序、高质量发展。</w:t>
      </w:r>
    </w:p>
    <w:p>
      <w:pPr>
        <w:pStyle w:val="4"/>
        <w:numPr>
          <w:ilvl w:val="0"/>
          <w:numId w:val="0"/>
        </w:numPr>
        <w:spacing w:line="600" w:lineRule="exact"/>
        <w:rPr>
          <w:rFonts w:ascii="Times New Roman" w:cs="Times New Roman"/>
        </w:rPr>
      </w:pPr>
      <w:bookmarkStart w:id="25" w:name="_Toc472287743"/>
      <w:bookmarkStart w:id="26" w:name="_Toc13421"/>
      <w:r>
        <w:rPr>
          <w:rFonts w:ascii="Times New Roman" w:cs="Times New Roman"/>
        </w:rPr>
        <w:t>（二）基本原则</w:t>
      </w:r>
      <w:bookmarkEnd w:id="25"/>
      <w:bookmarkEnd w:id="26"/>
    </w:p>
    <w:p>
      <w:pPr>
        <w:spacing w:line="600" w:lineRule="exact"/>
        <w:ind w:firstLine="640"/>
      </w:pPr>
      <w:r>
        <w:t>坚持生态优先。强化海岛资源保护的重要性，加强对自然保护区核心区与缓冲区、国防和领海基点等不可开发利用海岛的保护和管理，对岛体、海岛岸线、海岛动植物、海岛淡水资源以及海岛周边海域等资源进行科学规划和保护。</w:t>
      </w:r>
    </w:p>
    <w:p>
      <w:pPr>
        <w:spacing w:line="600" w:lineRule="exact"/>
        <w:ind w:firstLine="640"/>
        <w:rPr>
          <w:sz w:val="30"/>
          <w:szCs w:val="30"/>
        </w:rPr>
      </w:pPr>
      <w:r>
        <w:t>坚持创新发展。积极探索海岛旅游开发模式、旅游产品的创新以及管理体制与政策的先行先试；加快海岛发展方式转变，以旅游为带</w:t>
      </w:r>
      <w:r>
        <w:rPr>
          <w:sz w:val="30"/>
          <w:szCs w:val="30"/>
        </w:rPr>
        <w:t>动，落实国家循环经济、绿色发展、节能减排等相关政策。</w:t>
      </w:r>
    </w:p>
    <w:p>
      <w:pPr>
        <w:spacing w:line="600" w:lineRule="exact"/>
        <w:ind w:firstLine="600"/>
        <w:rPr>
          <w:sz w:val="30"/>
          <w:szCs w:val="30"/>
        </w:rPr>
      </w:pPr>
      <w:r>
        <w:rPr>
          <w:sz w:val="30"/>
          <w:szCs w:val="30"/>
        </w:rPr>
        <w:t>坚持协调发展。协调广东各地海岛旅游发展重点与特色，构建区域协同的海岛旅游发展格局；统筹海岛的自然、经济、社会属性，协调海岛保护与开发利用。</w:t>
      </w:r>
    </w:p>
    <w:p>
      <w:pPr>
        <w:spacing w:line="600" w:lineRule="exact"/>
        <w:ind w:firstLine="600"/>
      </w:pPr>
      <w:r>
        <w:rPr>
          <w:sz w:val="30"/>
          <w:szCs w:val="30"/>
        </w:rPr>
        <w:t>坚持保障安全。海岛旅游发展要以维护国家海洋权益和加强安全监管为前提，严格保护海</w:t>
      </w:r>
      <w:r>
        <w:t>岛上的国防军事设施和科学观测、导航、测绘等公益性设施，加强海岛防灾减灾体系建设，保障海上交通和游客安全。</w:t>
      </w:r>
    </w:p>
    <w:p>
      <w:pPr>
        <w:pStyle w:val="4"/>
        <w:numPr>
          <w:ilvl w:val="0"/>
          <w:numId w:val="0"/>
        </w:numPr>
        <w:spacing w:line="600" w:lineRule="exact"/>
        <w:rPr>
          <w:rFonts w:ascii="Times New Roman" w:cs="Times New Roman"/>
        </w:rPr>
      </w:pPr>
      <w:bookmarkStart w:id="27" w:name="_Toc29243"/>
      <w:r>
        <w:rPr>
          <w:rFonts w:ascii="Times New Roman" w:cs="Times New Roman"/>
        </w:rPr>
        <w:t>（三）发展目标</w:t>
      </w:r>
      <w:bookmarkEnd w:id="27"/>
    </w:p>
    <w:p>
      <w:pPr>
        <w:pStyle w:val="91"/>
        <w:widowControl w:val="0"/>
        <w:spacing w:line="600" w:lineRule="exact"/>
        <w:rPr>
          <w:rFonts w:ascii="Times New Roman" w:hAnsi="Times New Roman" w:cs="Times New Roman"/>
        </w:rPr>
      </w:pPr>
      <w:r>
        <w:rPr>
          <w:rFonts w:ascii="Times New Roman" w:hAnsi="Times New Roman" w:cs="Times New Roman"/>
        </w:rPr>
        <w:t>1.树标杆·世界顶级海岛休闲旅游集群</w:t>
      </w:r>
    </w:p>
    <w:p>
      <w:pPr>
        <w:pStyle w:val="42"/>
        <w:spacing w:line="600" w:lineRule="exact"/>
        <w:rPr>
          <w:rFonts w:cs="Times New Roman"/>
        </w:rPr>
      </w:pPr>
      <w:r>
        <w:rPr>
          <w:rFonts w:cs="Times New Roman"/>
        </w:rPr>
        <w:t>以万山群岛为龙头，以粤港澳世界级旅游休闲湾区建设为契机，统筹珠三角核心城市群的世界级旅游优势资源，积极打造粤港澳游艇自由行等高端旅游项目，打造世界顶级海岛休闲旅游集群。</w:t>
      </w:r>
    </w:p>
    <w:p>
      <w:pPr>
        <w:pStyle w:val="91"/>
        <w:widowControl w:val="0"/>
        <w:spacing w:line="600" w:lineRule="exact"/>
        <w:rPr>
          <w:rFonts w:ascii="Times New Roman" w:hAnsi="Times New Roman" w:cs="Times New Roman"/>
        </w:rPr>
      </w:pPr>
      <w:r>
        <w:rPr>
          <w:rFonts w:ascii="Times New Roman" w:hAnsi="Times New Roman" w:cs="Times New Roman"/>
        </w:rPr>
        <w:t>2.立特色·亚洲海洋美食旅游目的地</w:t>
      </w:r>
    </w:p>
    <w:p>
      <w:pPr>
        <w:spacing w:line="600" w:lineRule="exact"/>
        <w:ind w:firstLine="640"/>
      </w:pPr>
      <w:r>
        <w:t>依托广东美食在亚洲乃至世界的知名度，汇聚中国及亚洲餐饮美食之精华，借助海洋及海岛食材之鲜美，打造亚洲海洋美食旅游目的地。</w:t>
      </w:r>
    </w:p>
    <w:p>
      <w:pPr>
        <w:pStyle w:val="91"/>
        <w:widowControl w:val="0"/>
        <w:spacing w:line="600" w:lineRule="exact"/>
        <w:rPr>
          <w:rFonts w:ascii="Times New Roman" w:hAnsi="Times New Roman" w:cs="Times New Roman"/>
        </w:rPr>
      </w:pPr>
      <w:r>
        <w:rPr>
          <w:rFonts w:ascii="Times New Roman" w:hAnsi="Times New Roman" w:cs="Times New Roman"/>
        </w:rPr>
        <w:t>3.领潮流·海上丝绸之路旅游核心门户的战略支点</w:t>
      </w:r>
    </w:p>
    <w:p>
      <w:pPr>
        <w:pStyle w:val="42"/>
        <w:spacing w:line="600" w:lineRule="exact"/>
        <w:rPr>
          <w:rFonts w:ascii="黑体" w:hAnsi="黑体" w:eastAsia="黑体" w:cs="Times New Roman"/>
        </w:rPr>
      </w:pPr>
      <w:r>
        <w:rPr>
          <w:rFonts w:cs="Times New Roman"/>
        </w:rPr>
        <w:t>以横琴国际休闲旅游岛、南澳岛、上下川岛、海陵岛、放鸡岛等为核心发展海丝文化游精品线路，加强与港澳台区域旅游合作，拓宽与东南亚</w:t>
      </w:r>
      <w:r>
        <w:rPr>
          <w:rFonts w:ascii="黑体" w:hAnsi="黑体" w:eastAsia="黑体" w:cs="Times New Roman"/>
        </w:rPr>
        <w:t>、澳新等国际旅游交流，切实实行“走出去”战略，将广东海岛旅游打造成为海上丝绸之路旅游带核心门户的战略支点。</w:t>
      </w:r>
    </w:p>
    <w:p>
      <w:pPr>
        <w:spacing w:line="600" w:lineRule="exact"/>
        <w:ind w:firstLine="0" w:firstLineChars="0"/>
        <w:jc w:val="left"/>
        <w:rPr>
          <w:rFonts w:ascii="黑体" w:hAnsi="黑体" w:eastAsia="黑体"/>
          <w:szCs w:val="20"/>
        </w:rPr>
      </w:pPr>
    </w:p>
    <w:p>
      <w:pPr>
        <w:pStyle w:val="91"/>
        <w:widowControl w:val="0"/>
        <w:spacing w:line="600" w:lineRule="exact"/>
        <w:rPr>
          <w:rFonts w:ascii="黑体" w:hAnsi="黑体" w:eastAsia="黑体" w:cs="Times New Roman"/>
        </w:rPr>
      </w:pPr>
      <w:r>
        <w:rPr>
          <w:rFonts w:ascii="黑体" w:hAnsi="黑体" w:eastAsia="黑体" w:cs="Times New Roman"/>
        </w:rPr>
        <w:t>4.争先进·海洋旅游强省</w:t>
      </w:r>
    </w:p>
    <w:p>
      <w:pPr>
        <w:spacing w:line="600" w:lineRule="exact"/>
        <w:ind w:firstLine="640"/>
      </w:pPr>
      <w:r>
        <w:rPr>
          <w:rFonts w:ascii="黑体" w:hAnsi="黑体" w:eastAsia="黑体"/>
        </w:rPr>
        <w:t>打造20个滨海海岛旅游目的地，培育近20</w:t>
      </w:r>
      <w:r>
        <w:t>0个休闲旅游用岛，积极创建国家蓝色旅游示范基地，打造海洋旅游强省，助力广东建设全国海洋经济发展综合试验区。</w:t>
      </w:r>
    </w:p>
    <w:p>
      <w:pPr>
        <w:adjustRightInd w:val="0"/>
        <w:spacing w:line="600" w:lineRule="exact"/>
        <w:ind w:firstLine="0" w:firstLineChars="0"/>
        <w:jc w:val="center"/>
        <w:rPr>
          <w:rStyle w:val="146"/>
          <w:rFonts w:ascii="Times New Roman" w:hAnsi="Times New Roman" w:cs="Times New Roman"/>
        </w:rPr>
      </w:pPr>
      <w:r>
        <w:rPr>
          <w:rStyle w:val="146"/>
          <w:rFonts w:ascii="Times New Roman" w:hAnsi="Times New Roman" w:cs="Times New Roman"/>
        </w:rPr>
        <w:t>表3-1广东省海岛旅游发展主要指标</w:t>
      </w:r>
    </w:p>
    <w:tbl>
      <w:tblPr>
        <w:tblStyle w:val="35"/>
        <w:tblW w:w="923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
        <w:gridCol w:w="585"/>
        <w:gridCol w:w="124"/>
        <w:gridCol w:w="3260"/>
        <w:gridCol w:w="1309"/>
        <w:gridCol w:w="496"/>
        <w:gridCol w:w="889"/>
        <w:gridCol w:w="2346"/>
        <w:gridCol w:w="1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6"/>
              <w:spacing w:line="280" w:lineRule="exact"/>
              <w:rPr>
                <w:rFonts w:ascii="Times New Roman" w:hAnsi="Times New Roman" w:cs="Times New Roman"/>
                <w:color w:val="auto"/>
              </w:rPr>
            </w:pPr>
          </w:p>
        </w:tc>
        <w:tc>
          <w:tcPr>
            <w:tcW w:w="3260" w:type="dxa"/>
            <w:vAlign w:val="center"/>
          </w:tcPr>
          <w:p>
            <w:pPr>
              <w:pStyle w:val="96"/>
              <w:spacing w:line="280" w:lineRule="exact"/>
              <w:rPr>
                <w:rFonts w:ascii="Times New Roman" w:hAnsi="Times New Roman" w:cs="Times New Roman"/>
                <w:color w:val="auto"/>
              </w:rPr>
            </w:pPr>
            <w:r>
              <w:rPr>
                <w:rFonts w:ascii="Times New Roman" w:hAnsi="Times New Roman" w:cs="Times New Roman"/>
                <w:color w:val="auto"/>
              </w:rPr>
              <w:t>主要指标</w:t>
            </w:r>
          </w:p>
        </w:tc>
        <w:tc>
          <w:tcPr>
            <w:tcW w:w="2694" w:type="dxa"/>
            <w:gridSpan w:val="3"/>
            <w:vAlign w:val="center"/>
          </w:tcPr>
          <w:p>
            <w:pPr>
              <w:pStyle w:val="96"/>
              <w:spacing w:line="280" w:lineRule="exact"/>
              <w:rPr>
                <w:rFonts w:ascii="Times New Roman" w:hAnsi="Times New Roman" w:cs="Times New Roman"/>
                <w:color w:val="auto"/>
              </w:rPr>
            </w:pPr>
            <w:r>
              <w:rPr>
                <w:rFonts w:ascii="Times New Roman" w:hAnsi="Times New Roman" w:cs="Times New Roman"/>
                <w:color w:val="auto"/>
              </w:rPr>
              <w:t>2020年</w:t>
            </w:r>
          </w:p>
        </w:tc>
        <w:tc>
          <w:tcPr>
            <w:tcW w:w="2464" w:type="dxa"/>
            <w:gridSpan w:val="2"/>
            <w:vAlign w:val="center"/>
          </w:tcPr>
          <w:p>
            <w:pPr>
              <w:pStyle w:val="96"/>
              <w:spacing w:line="280" w:lineRule="exact"/>
              <w:rPr>
                <w:rFonts w:ascii="Times New Roman" w:hAnsi="Times New Roman" w:cs="Times New Roman"/>
                <w:color w:val="auto"/>
              </w:rPr>
            </w:pPr>
            <w:r>
              <w:rPr>
                <w:rFonts w:ascii="Times New Roman" w:hAnsi="Times New Roman" w:cs="Times New Roman"/>
                <w:color w:val="auto"/>
              </w:rPr>
              <w:t>2030年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5"/>
              <w:spacing w:before="0" w:after="0"/>
              <w:jc w:val="center"/>
              <w:rPr>
                <w:rFonts w:cs="Times New Roman"/>
                <w:szCs w:val="24"/>
              </w:rPr>
            </w:pPr>
            <w:r>
              <w:rPr>
                <w:rFonts w:cs="Times New Roman"/>
                <w:szCs w:val="24"/>
              </w:rPr>
              <w:t>1</w:t>
            </w:r>
          </w:p>
        </w:tc>
        <w:tc>
          <w:tcPr>
            <w:tcW w:w="3260" w:type="dxa"/>
            <w:vAlign w:val="center"/>
          </w:tcPr>
          <w:p>
            <w:pPr>
              <w:pStyle w:val="95"/>
              <w:spacing w:before="0" w:after="0"/>
              <w:jc w:val="center"/>
              <w:rPr>
                <w:rFonts w:cs="Times New Roman"/>
                <w:szCs w:val="24"/>
              </w:rPr>
            </w:pPr>
            <w:r>
              <w:rPr>
                <w:rFonts w:cs="Times New Roman"/>
                <w:szCs w:val="24"/>
              </w:rPr>
              <w:t>旅游总人次（万人次）</w:t>
            </w:r>
          </w:p>
        </w:tc>
        <w:tc>
          <w:tcPr>
            <w:tcW w:w="2694" w:type="dxa"/>
            <w:gridSpan w:val="3"/>
            <w:vAlign w:val="center"/>
          </w:tcPr>
          <w:p>
            <w:pPr>
              <w:pStyle w:val="95"/>
              <w:spacing w:before="0" w:after="0"/>
              <w:jc w:val="center"/>
              <w:rPr>
                <w:rFonts w:cs="Times New Roman"/>
                <w:szCs w:val="24"/>
              </w:rPr>
            </w:pPr>
            <w:r>
              <w:rPr>
                <w:rFonts w:cs="Times New Roman"/>
                <w:szCs w:val="24"/>
              </w:rPr>
              <w:t xml:space="preserve">5000 </w:t>
            </w:r>
          </w:p>
        </w:tc>
        <w:tc>
          <w:tcPr>
            <w:tcW w:w="2464" w:type="dxa"/>
            <w:gridSpan w:val="2"/>
            <w:vAlign w:val="center"/>
          </w:tcPr>
          <w:p>
            <w:pPr>
              <w:pStyle w:val="95"/>
              <w:spacing w:before="0" w:after="0"/>
              <w:jc w:val="center"/>
              <w:rPr>
                <w:rFonts w:cs="Times New Roman"/>
                <w:szCs w:val="24"/>
              </w:rPr>
            </w:pPr>
            <w:r>
              <w:rPr>
                <w:rFonts w:cs="Times New Roman"/>
                <w:szCs w:val="24"/>
              </w:rPr>
              <w:t>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5"/>
              <w:spacing w:before="0" w:after="0"/>
              <w:jc w:val="center"/>
              <w:rPr>
                <w:rFonts w:cs="Times New Roman"/>
                <w:szCs w:val="24"/>
              </w:rPr>
            </w:pPr>
            <w:r>
              <w:rPr>
                <w:rFonts w:cs="Times New Roman"/>
                <w:szCs w:val="24"/>
              </w:rPr>
              <w:t>2</w:t>
            </w:r>
          </w:p>
        </w:tc>
        <w:tc>
          <w:tcPr>
            <w:tcW w:w="3260" w:type="dxa"/>
            <w:vAlign w:val="center"/>
          </w:tcPr>
          <w:p>
            <w:pPr>
              <w:pStyle w:val="95"/>
              <w:spacing w:before="0" w:after="0"/>
              <w:jc w:val="center"/>
              <w:rPr>
                <w:rFonts w:cs="Times New Roman"/>
                <w:szCs w:val="24"/>
              </w:rPr>
            </w:pPr>
            <w:r>
              <w:rPr>
                <w:rFonts w:cs="Times New Roman"/>
                <w:szCs w:val="24"/>
              </w:rPr>
              <w:t>年旅游总消费（亿元）</w:t>
            </w:r>
          </w:p>
        </w:tc>
        <w:tc>
          <w:tcPr>
            <w:tcW w:w="2694" w:type="dxa"/>
            <w:gridSpan w:val="3"/>
            <w:vAlign w:val="center"/>
          </w:tcPr>
          <w:p>
            <w:pPr>
              <w:pStyle w:val="95"/>
              <w:spacing w:before="0" w:after="0"/>
              <w:jc w:val="center"/>
              <w:rPr>
                <w:rFonts w:cs="Times New Roman"/>
                <w:szCs w:val="24"/>
              </w:rPr>
            </w:pPr>
            <w:r>
              <w:rPr>
                <w:rFonts w:cs="Times New Roman"/>
                <w:szCs w:val="24"/>
              </w:rPr>
              <w:t xml:space="preserve">1500 </w:t>
            </w:r>
          </w:p>
        </w:tc>
        <w:tc>
          <w:tcPr>
            <w:tcW w:w="2464" w:type="dxa"/>
            <w:gridSpan w:val="2"/>
            <w:vAlign w:val="center"/>
          </w:tcPr>
          <w:p>
            <w:pPr>
              <w:pStyle w:val="95"/>
              <w:spacing w:before="0" w:after="0"/>
              <w:jc w:val="center"/>
              <w:rPr>
                <w:rFonts w:cs="Times New Roman"/>
                <w:szCs w:val="24"/>
              </w:rPr>
            </w:pPr>
            <w:r>
              <w:rPr>
                <w:rFonts w:cs="Times New Roman"/>
                <w:szCs w:val="24"/>
              </w:rPr>
              <w:t xml:space="preserve">5000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5"/>
              <w:spacing w:before="0" w:after="0"/>
              <w:jc w:val="center"/>
              <w:rPr>
                <w:rFonts w:cs="Times New Roman"/>
                <w:szCs w:val="24"/>
              </w:rPr>
            </w:pPr>
            <w:r>
              <w:rPr>
                <w:rFonts w:cs="Times New Roman"/>
                <w:szCs w:val="24"/>
              </w:rPr>
              <w:t>3</w:t>
            </w:r>
          </w:p>
        </w:tc>
        <w:tc>
          <w:tcPr>
            <w:tcW w:w="3260" w:type="dxa"/>
            <w:vAlign w:val="center"/>
          </w:tcPr>
          <w:p>
            <w:pPr>
              <w:pStyle w:val="95"/>
              <w:spacing w:before="0" w:after="0"/>
              <w:jc w:val="center"/>
              <w:rPr>
                <w:rFonts w:cs="Times New Roman"/>
                <w:szCs w:val="24"/>
              </w:rPr>
            </w:pPr>
            <w:r>
              <w:rPr>
                <w:rFonts w:cs="Times New Roman"/>
                <w:szCs w:val="24"/>
              </w:rPr>
              <w:t>入境过夜游客数（万人次）</w:t>
            </w:r>
          </w:p>
        </w:tc>
        <w:tc>
          <w:tcPr>
            <w:tcW w:w="2694" w:type="dxa"/>
            <w:gridSpan w:val="3"/>
            <w:vAlign w:val="center"/>
          </w:tcPr>
          <w:p>
            <w:pPr>
              <w:pStyle w:val="95"/>
              <w:spacing w:before="0" w:after="0"/>
              <w:jc w:val="center"/>
              <w:rPr>
                <w:rFonts w:cs="Times New Roman"/>
                <w:szCs w:val="24"/>
              </w:rPr>
            </w:pPr>
            <w:r>
              <w:rPr>
                <w:rFonts w:cs="Times New Roman"/>
                <w:szCs w:val="24"/>
              </w:rPr>
              <w:t xml:space="preserve">300 </w:t>
            </w:r>
          </w:p>
        </w:tc>
        <w:tc>
          <w:tcPr>
            <w:tcW w:w="2464" w:type="dxa"/>
            <w:gridSpan w:val="2"/>
            <w:vAlign w:val="center"/>
          </w:tcPr>
          <w:p>
            <w:pPr>
              <w:pStyle w:val="95"/>
              <w:spacing w:before="0" w:after="0"/>
              <w:jc w:val="center"/>
              <w:rPr>
                <w:rFonts w:cs="Times New Roman"/>
                <w:szCs w:val="24"/>
              </w:rPr>
            </w:pPr>
            <w:r>
              <w:rPr>
                <w:rFonts w:cs="Times New Roman"/>
                <w:szCs w:val="24"/>
              </w:rPr>
              <w:t xml:space="preserve">1000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5"/>
              <w:spacing w:before="0" w:after="0"/>
              <w:jc w:val="center"/>
              <w:rPr>
                <w:rFonts w:cs="Times New Roman"/>
                <w:szCs w:val="24"/>
              </w:rPr>
            </w:pPr>
            <w:r>
              <w:rPr>
                <w:rFonts w:cs="Times New Roman"/>
                <w:szCs w:val="24"/>
              </w:rPr>
              <w:t>4</w:t>
            </w:r>
          </w:p>
        </w:tc>
        <w:tc>
          <w:tcPr>
            <w:tcW w:w="3260" w:type="dxa"/>
            <w:vAlign w:val="center"/>
          </w:tcPr>
          <w:p>
            <w:pPr>
              <w:pStyle w:val="49"/>
              <w:jc w:val="center"/>
              <w:rPr>
                <w:rFonts w:cs="Times New Roman"/>
                <w:sz w:val="24"/>
              </w:rPr>
            </w:pPr>
            <w:r>
              <w:rPr>
                <w:rFonts w:cs="Times New Roman"/>
                <w:sz w:val="24"/>
              </w:rPr>
              <w:t>5A/4A级景区总数（家）</w:t>
            </w:r>
          </w:p>
        </w:tc>
        <w:tc>
          <w:tcPr>
            <w:tcW w:w="2694" w:type="dxa"/>
            <w:gridSpan w:val="3"/>
            <w:vAlign w:val="center"/>
          </w:tcPr>
          <w:p>
            <w:pPr>
              <w:pStyle w:val="95"/>
              <w:spacing w:before="0" w:after="0"/>
              <w:jc w:val="center"/>
              <w:rPr>
                <w:rFonts w:cs="Times New Roman"/>
                <w:szCs w:val="24"/>
              </w:rPr>
            </w:pPr>
            <w:r>
              <w:rPr>
                <w:rFonts w:cs="Times New Roman"/>
                <w:szCs w:val="24"/>
              </w:rPr>
              <w:t xml:space="preserve">10 </w:t>
            </w:r>
          </w:p>
        </w:tc>
        <w:tc>
          <w:tcPr>
            <w:tcW w:w="2464" w:type="dxa"/>
            <w:gridSpan w:val="2"/>
            <w:vAlign w:val="center"/>
          </w:tcPr>
          <w:p>
            <w:pPr>
              <w:pStyle w:val="95"/>
              <w:spacing w:before="0" w:after="0"/>
              <w:jc w:val="center"/>
              <w:rPr>
                <w:rFonts w:cs="Times New Roman"/>
                <w:szCs w:val="24"/>
              </w:rPr>
            </w:pPr>
            <w:r>
              <w:rPr>
                <w:rFonts w:cs="Times New Roman"/>
                <w:szCs w:val="24"/>
              </w:rPr>
              <w:t xml:space="preserve">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gridBefore w:val="1"/>
          <w:wBefore w:w="108" w:type="dxa"/>
          <w:trHeight w:val="340" w:hRule="atLeast"/>
          <w:jc w:val="center"/>
        </w:trPr>
        <w:tc>
          <w:tcPr>
            <w:tcW w:w="709" w:type="dxa"/>
            <w:gridSpan w:val="2"/>
            <w:vAlign w:val="center"/>
          </w:tcPr>
          <w:p>
            <w:pPr>
              <w:pStyle w:val="95"/>
              <w:spacing w:before="0" w:after="0"/>
              <w:jc w:val="center"/>
              <w:rPr>
                <w:rFonts w:cs="Times New Roman"/>
                <w:szCs w:val="24"/>
              </w:rPr>
            </w:pPr>
            <w:r>
              <w:rPr>
                <w:rFonts w:cs="Times New Roman"/>
                <w:szCs w:val="24"/>
              </w:rPr>
              <w:t>5</w:t>
            </w:r>
          </w:p>
        </w:tc>
        <w:tc>
          <w:tcPr>
            <w:tcW w:w="3260" w:type="dxa"/>
            <w:vAlign w:val="center"/>
          </w:tcPr>
          <w:p>
            <w:pPr>
              <w:pStyle w:val="49"/>
              <w:jc w:val="center"/>
              <w:rPr>
                <w:rFonts w:cs="Times New Roman"/>
                <w:sz w:val="24"/>
              </w:rPr>
            </w:pPr>
            <w:r>
              <w:rPr>
                <w:rFonts w:cs="Times New Roman"/>
                <w:sz w:val="24"/>
              </w:rPr>
              <w:t>旅游人均消费（元）</w:t>
            </w:r>
          </w:p>
        </w:tc>
        <w:tc>
          <w:tcPr>
            <w:tcW w:w="2694" w:type="dxa"/>
            <w:gridSpan w:val="3"/>
            <w:vAlign w:val="center"/>
          </w:tcPr>
          <w:p>
            <w:pPr>
              <w:pStyle w:val="95"/>
              <w:spacing w:before="0" w:after="0"/>
              <w:jc w:val="center"/>
              <w:rPr>
                <w:rFonts w:cs="Times New Roman"/>
                <w:szCs w:val="24"/>
              </w:rPr>
            </w:pPr>
            <w:r>
              <w:rPr>
                <w:rFonts w:cs="Times New Roman"/>
                <w:szCs w:val="24"/>
              </w:rPr>
              <w:t xml:space="preserve">3000 </w:t>
            </w:r>
          </w:p>
        </w:tc>
        <w:tc>
          <w:tcPr>
            <w:tcW w:w="2464" w:type="dxa"/>
            <w:gridSpan w:val="2"/>
            <w:vAlign w:val="center"/>
          </w:tcPr>
          <w:p>
            <w:pPr>
              <w:pStyle w:val="95"/>
              <w:spacing w:before="0" w:after="0"/>
              <w:jc w:val="center"/>
              <w:rPr>
                <w:rFonts w:cs="Times New Roman"/>
                <w:szCs w:val="24"/>
              </w:rPr>
            </w:pPr>
            <w:r>
              <w:rPr>
                <w:rFonts w:cs="Times New Roman"/>
                <w:szCs w:val="24"/>
              </w:rPr>
              <w:t xml:space="preserve">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9117" w:type="dxa"/>
            <w:gridSpan w:val="8"/>
            <w:vAlign w:val="center"/>
          </w:tcPr>
          <w:p>
            <w:pPr>
              <w:pStyle w:val="42"/>
              <w:spacing w:beforeLines="40" w:afterLines="40" w:line="280" w:lineRule="exact"/>
              <w:ind w:firstLine="0" w:firstLineChars="0"/>
              <w:jc w:val="center"/>
              <w:rPr>
                <w:rFonts w:cs="Times New Roman"/>
                <w:b/>
                <w:sz w:val="24"/>
                <w:szCs w:val="24"/>
              </w:rPr>
            </w:pPr>
            <w:bookmarkStart w:id="28" w:name="_Toc467495328"/>
            <w:r>
              <w:rPr>
                <w:rFonts w:cs="Times New Roman"/>
                <w:b/>
                <w:sz w:val="24"/>
                <w:szCs w:val="24"/>
              </w:rPr>
              <w:t>专栏1 20个滨海海岛旅游目的地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9117" w:type="dxa"/>
            <w:gridSpan w:val="8"/>
            <w:tcBorders>
              <w:top w:val="nil"/>
              <w:bottom w:val="nil"/>
            </w:tcBorders>
            <w:vAlign w:val="center"/>
          </w:tcPr>
          <w:p>
            <w:pPr>
              <w:pStyle w:val="42"/>
              <w:spacing w:beforeLines="50" w:beforeAutospacing="1" w:afterLines="50" w:afterAutospacing="1" w:line="280" w:lineRule="exact"/>
              <w:ind w:firstLine="0" w:firstLineChars="0"/>
              <w:jc w:val="left"/>
              <w:rPr>
                <w:rFonts w:cs="Times New Roman"/>
                <w:b/>
                <w:sz w:val="24"/>
                <w:szCs w:val="24"/>
              </w:rPr>
            </w:pPr>
            <w:r>
              <w:rPr>
                <w:rFonts w:cs="Times New Roman"/>
                <w:b/>
                <w:sz w:val="24"/>
                <w:szCs w:val="24"/>
              </w:rPr>
              <w:t>重点建设10个滨海海岛旅游目的地：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横琴岛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7</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巽寮湾（惠东三角洲、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2</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海陵岛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大辣甲岛群）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3</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南澳岛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8</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红海湾（汕尾遮浪岩、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4</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川山群岛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龟龄岛岛群）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5</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万山群岛</w:t>
            </w:r>
            <w:r>
              <w:rPr>
                <w:rFonts w:cs="Times New Roman"/>
                <w:spacing w:val="-20"/>
                <w:sz w:val="24"/>
                <w:szCs w:val="24"/>
              </w:rPr>
              <w:t>（外伶仃岛、东澳岛、三角岛）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9</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湛江五岛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6</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大鹏半岛（赖氏洲、洲仔岛）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10</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放鸡岛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9117" w:type="dxa"/>
            <w:gridSpan w:val="8"/>
            <w:tcBorders>
              <w:top w:val="nil"/>
              <w:bottom w:val="nil"/>
            </w:tcBorders>
            <w:vAlign w:val="center"/>
          </w:tcPr>
          <w:p>
            <w:pPr>
              <w:pStyle w:val="42"/>
              <w:spacing w:beforeLines="50" w:beforeAutospacing="1" w:afterLines="50" w:afterAutospacing="1" w:line="280" w:lineRule="exact"/>
              <w:ind w:firstLine="0" w:firstLineChars="0"/>
              <w:jc w:val="left"/>
              <w:rPr>
                <w:rFonts w:eastAsia="黑体" w:cs="Times New Roman"/>
                <w:b/>
                <w:sz w:val="24"/>
                <w:szCs w:val="24"/>
              </w:rPr>
            </w:pPr>
            <w:r>
              <w:rPr>
                <w:rFonts w:cs="Times New Roman"/>
                <w:b/>
                <w:sz w:val="24"/>
                <w:szCs w:val="24"/>
              </w:rPr>
              <w:t>积极培育10个滨海海岛旅游目的地：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11</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海鸥岛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16</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三门岛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12</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大九洲岛群</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17</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威远岛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13</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桂山岛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18</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南鹏岛岛群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14</w:t>
            </w:r>
          </w:p>
        </w:tc>
        <w:tc>
          <w:tcPr>
            <w:tcW w:w="4693" w:type="dxa"/>
            <w:gridSpan w:val="3"/>
            <w:tcBorders>
              <w:top w:val="nil"/>
              <w:left w:val="nil"/>
              <w:bottom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大万山岛</w:t>
            </w:r>
          </w:p>
        </w:tc>
        <w:tc>
          <w:tcPr>
            <w:tcW w:w="496" w:type="dxa"/>
            <w:tcBorders>
              <w:top w:val="nil"/>
              <w:left w:val="nil"/>
              <w:bottom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19</w:t>
            </w:r>
          </w:p>
        </w:tc>
        <w:tc>
          <w:tcPr>
            <w:tcW w:w="3235" w:type="dxa"/>
            <w:gridSpan w:val="2"/>
            <w:tcBorders>
              <w:top w:val="nil"/>
              <w:left w:val="nil"/>
              <w:bottom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罗斗沙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8" w:type="dxa"/>
          <w:trHeight w:val="284" w:hRule="atLeast"/>
          <w:jc w:val="center"/>
        </w:trPr>
        <w:tc>
          <w:tcPr>
            <w:tcW w:w="693" w:type="dxa"/>
            <w:gridSpan w:val="2"/>
            <w:tcBorders>
              <w:top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15</w:t>
            </w:r>
          </w:p>
        </w:tc>
        <w:tc>
          <w:tcPr>
            <w:tcW w:w="4693" w:type="dxa"/>
            <w:gridSpan w:val="3"/>
            <w:tcBorders>
              <w:top w:val="nil"/>
              <w:left w:val="nil"/>
              <w:righ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庙湾岛岛群</w:t>
            </w:r>
          </w:p>
        </w:tc>
        <w:tc>
          <w:tcPr>
            <w:tcW w:w="496" w:type="dxa"/>
            <w:tcBorders>
              <w:top w:val="nil"/>
              <w:left w:val="nil"/>
              <w:right w:val="nil"/>
            </w:tcBorders>
            <w:vAlign w:val="center"/>
          </w:tcPr>
          <w:p>
            <w:pPr>
              <w:pStyle w:val="42"/>
              <w:spacing w:beforeLines="50" w:beforeAutospacing="1" w:afterLines="50" w:afterAutospacing="1" w:line="280" w:lineRule="exact"/>
              <w:ind w:firstLine="0" w:firstLineChars="0"/>
              <w:jc w:val="center"/>
              <w:rPr>
                <w:rFonts w:cs="Times New Roman"/>
                <w:sz w:val="24"/>
                <w:szCs w:val="24"/>
              </w:rPr>
            </w:pPr>
            <w:r>
              <w:rPr>
                <w:rFonts w:cs="Times New Roman"/>
                <w:sz w:val="24"/>
                <w:szCs w:val="24"/>
              </w:rPr>
              <w:t>20</w:t>
            </w:r>
          </w:p>
        </w:tc>
        <w:tc>
          <w:tcPr>
            <w:tcW w:w="3235" w:type="dxa"/>
            <w:gridSpan w:val="2"/>
            <w:tcBorders>
              <w:top w:val="nil"/>
              <w:left w:val="nil"/>
            </w:tcBorders>
            <w:vAlign w:val="center"/>
          </w:tcPr>
          <w:p>
            <w:pPr>
              <w:pStyle w:val="42"/>
              <w:spacing w:beforeLines="50" w:beforeAutospacing="1" w:afterLines="50" w:afterAutospacing="1" w:line="280" w:lineRule="exact"/>
              <w:ind w:firstLine="0" w:firstLineChars="0"/>
              <w:jc w:val="left"/>
              <w:rPr>
                <w:rFonts w:cs="Times New Roman"/>
                <w:sz w:val="24"/>
                <w:szCs w:val="24"/>
              </w:rPr>
            </w:pPr>
            <w:r>
              <w:rPr>
                <w:rFonts w:cs="Times New Roman"/>
                <w:sz w:val="24"/>
                <w:szCs w:val="24"/>
              </w:rPr>
              <w:t>西澳-汛洲岛-海山岛</w:t>
            </w:r>
          </w:p>
        </w:tc>
      </w:tr>
    </w:tbl>
    <w:p>
      <w:pPr>
        <w:spacing w:line="240" w:lineRule="auto"/>
        <w:ind w:firstLine="0" w:firstLineChars="0"/>
        <w:jc w:val="left"/>
        <w:rPr>
          <w:rFonts w:eastAsia="楷体"/>
          <w:b/>
          <w:bCs/>
          <w:sz w:val="36"/>
          <w:szCs w:val="30"/>
        </w:rPr>
      </w:pPr>
    </w:p>
    <w:p>
      <w:pPr>
        <w:pStyle w:val="4"/>
        <w:numPr>
          <w:ilvl w:val="0"/>
          <w:numId w:val="0"/>
        </w:numPr>
        <w:tabs>
          <w:tab w:val="left" w:pos="993"/>
        </w:tabs>
        <w:spacing w:line="570" w:lineRule="exact"/>
        <w:rPr>
          <w:rFonts w:ascii="Times New Roman" w:cs="Times New Roman"/>
        </w:rPr>
      </w:pPr>
      <w:bookmarkStart w:id="29" w:name="_Toc12549"/>
      <w:r>
        <w:rPr>
          <w:rFonts w:ascii="Times New Roman" w:cs="Times New Roman"/>
        </w:rPr>
        <w:t>（四）发展战略</w:t>
      </w:r>
      <w:bookmarkEnd w:id="28"/>
      <w:bookmarkEnd w:id="29"/>
    </w:p>
    <w:p>
      <w:pPr>
        <w:pStyle w:val="91"/>
        <w:widowControl w:val="0"/>
        <w:spacing w:line="570" w:lineRule="exact"/>
        <w:rPr>
          <w:rFonts w:ascii="Times New Roman" w:hAnsi="Times New Roman" w:cs="Times New Roman"/>
        </w:rPr>
      </w:pPr>
      <w:bookmarkStart w:id="30" w:name="_Toc450589409"/>
      <w:bookmarkStart w:id="31" w:name="_Toc453538030"/>
      <w:r>
        <w:rPr>
          <w:rFonts w:ascii="Times New Roman" w:hAnsi="Times New Roman" w:cs="Times New Roman"/>
        </w:rPr>
        <w:t>1.一核一带，标杆品牌</w:t>
      </w:r>
    </w:p>
    <w:p>
      <w:pPr>
        <w:spacing w:line="570" w:lineRule="exact"/>
        <w:ind w:firstLine="640"/>
      </w:pPr>
      <w:r>
        <w:t>为使全省海岛旅游实现突破性发展，依托粤港澳世界级旅游休闲湾区建设，将万山群岛·横琴岛打造成为具全国示范性、全球知名度的海岛旅游标杆品牌。对接广东省区域发展新格局，建设珠三角旅游核心区，发挥对广东海岛旅游的示范引领；打造以珠三角城市群为核心、汕潮揭城市群和湛茂阳城市带为两翼的海上丝绸之路旅游带，统筹海陆关系，推动协同发展。</w:t>
      </w:r>
    </w:p>
    <w:p>
      <w:pPr>
        <w:pStyle w:val="91"/>
        <w:widowControl w:val="0"/>
        <w:spacing w:line="570" w:lineRule="exact"/>
        <w:rPr>
          <w:rFonts w:ascii="Times New Roman" w:hAnsi="Times New Roman" w:cs="Times New Roman"/>
        </w:rPr>
      </w:pPr>
      <w:r>
        <w:rPr>
          <w:rFonts w:ascii="Times New Roman" w:hAnsi="Times New Roman" w:cs="Times New Roman"/>
        </w:rPr>
        <w:t>2.一市一主题，一岛一特色</w:t>
      </w:r>
    </w:p>
    <w:p>
      <w:pPr>
        <w:spacing w:line="570" w:lineRule="exact"/>
        <w:ind w:firstLine="640"/>
      </w:pPr>
      <w:r>
        <w:t>沿海各城市深入挖掘海岛特色，以“一市一主题”的方式建立多元海岛发展格局。差异化打造一系列主题突出的特色海岛旅游目的地，扩大海岛旅游中高端供给。根据海岛的自然与人文特点，紧密结合市场需求，对海岛进行精准定位。以主题产品为核心，以主题海岛为节点，以主题线路为牵引，形成独具特色的全域海岛旅游体系，构建“一市一主题、一岛一特色、一岛一策略”的海岛旅游发展布局。</w:t>
      </w:r>
    </w:p>
    <w:p>
      <w:pPr>
        <w:pStyle w:val="91"/>
        <w:widowControl w:val="0"/>
        <w:spacing w:line="570" w:lineRule="exact"/>
        <w:rPr>
          <w:rFonts w:ascii="Times New Roman" w:hAnsi="Times New Roman" w:cs="Times New Roman"/>
        </w:rPr>
      </w:pPr>
      <w:r>
        <w:rPr>
          <w:rFonts w:ascii="Times New Roman" w:hAnsi="Times New Roman" w:cs="Times New Roman"/>
        </w:rPr>
        <w:t>3.海陆统筹，以大带小</w:t>
      </w:r>
    </w:p>
    <w:p>
      <w:pPr>
        <w:spacing w:line="570" w:lineRule="exact"/>
        <w:ind w:firstLine="640"/>
        <w:rPr>
          <w:rFonts w:ascii="黑体" w:hAnsi="黑体" w:eastAsia="黑体"/>
        </w:rPr>
      </w:pPr>
      <w:r>
        <w:t>推进全省海岛旅游的海陆统筹和互动发展，强化内陆、沿海、海岛之间的</w:t>
      </w:r>
      <w:r>
        <w:rPr>
          <w:rFonts w:ascii="黑体" w:hAnsi="黑体" w:eastAsia="黑体"/>
        </w:rPr>
        <w:t>联系，形成立体有序的空间发展格局。根据海岛地理优势与条件，统筹省内、国内、国际三个层次的海陆空间关系。统筹珠三角腹地资源，发挥海港辐射能力，融入“一带一路”整体发展。加强海陆联系，建设三级海岛旅游桥头堡，形成海岛经济战略支点。有居民的大岛与周边无居民的小岛形成组团，以大岛带动小岛，以小岛丰富大岛，实现以大带小、大小互补的协同发展模式。</w:t>
      </w:r>
    </w:p>
    <w:p>
      <w:pPr>
        <w:pStyle w:val="91"/>
        <w:widowControl w:val="0"/>
        <w:spacing w:line="570" w:lineRule="exact"/>
        <w:rPr>
          <w:rFonts w:ascii="黑体" w:hAnsi="黑体" w:eastAsia="黑体" w:cs="Times New Roman"/>
        </w:rPr>
      </w:pPr>
      <w:r>
        <w:rPr>
          <w:rFonts w:ascii="黑体" w:hAnsi="黑体" w:eastAsia="黑体" w:cs="Times New Roman"/>
        </w:rPr>
        <w:t>4.数字海岛，智慧评估</w:t>
      </w:r>
    </w:p>
    <w:p>
      <w:pPr>
        <w:spacing w:line="570" w:lineRule="exact"/>
        <w:ind w:firstLine="616"/>
        <w:rPr>
          <w:spacing w:val="-6"/>
        </w:rPr>
      </w:pPr>
      <w:r>
        <w:rPr>
          <w:rFonts w:ascii="黑体" w:hAnsi="黑体" w:eastAsia="黑体"/>
          <w:spacing w:val="-6"/>
        </w:rPr>
        <w:t>整合散乱孤立的海岛旅游数据，增补海岛地理信息数据、旅游资源数据、旅游统计数据、旅游网络大数据。探索推进横向整合关联各部门信息数据资源，打通各部门信息孤岛，形成完</w:t>
      </w:r>
      <w:r>
        <w:rPr>
          <w:spacing w:val="-6"/>
        </w:rPr>
        <w:t>善的广东省海岛旅游数据库，为海岛旅游发展的科学决策提供支持。建立广东海岛旅游开发价值智慧评估体系，明确海岛开发的主要方向与优先顺序，为海岛旅游的智慧决策和永续发展提供有力支撑。</w:t>
      </w:r>
    </w:p>
    <w:p>
      <w:pPr>
        <w:pStyle w:val="91"/>
        <w:widowControl w:val="0"/>
        <w:spacing w:line="570" w:lineRule="exact"/>
        <w:rPr>
          <w:rFonts w:ascii="Times New Roman" w:hAnsi="Times New Roman" w:cs="Times New Roman"/>
        </w:rPr>
      </w:pPr>
      <w:r>
        <w:rPr>
          <w:rFonts w:ascii="Times New Roman" w:hAnsi="Times New Roman" w:cs="Times New Roman"/>
        </w:rPr>
        <w:t>5.蓝色国土，绿色发展</w:t>
      </w:r>
    </w:p>
    <w:p>
      <w:pPr>
        <w:spacing w:line="570" w:lineRule="exact"/>
        <w:ind w:firstLine="640"/>
      </w:pPr>
      <w:r>
        <w:t>打造蓝色国土综合开发典范，建设国家蓝色旅游示范基地，提升蓝色国土意识，助力海洋文化发展。发挥海岛旅游的国际影响力，友好彰显蓝色主权。建设美丽海岛，践行绿色发展道路。以促进海岛自然生态环境保护、旅游开发与建设，提高海岛管理和综合服务能力为原则，将生态旅游作为海岛旅游的核心理念，促进资源永续利用和生态文明建设。</w:t>
      </w:r>
    </w:p>
    <w:p>
      <w:pPr>
        <w:pStyle w:val="91"/>
        <w:widowControl w:val="0"/>
        <w:spacing w:line="570" w:lineRule="exact"/>
        <w:rPr>
          <w:rFonts w:ascii="Times New Roman" w:hAnsi="Times New Roman" w:cs="Times New Roman"/>
        </w:rPr>
      </w:pPr>
      <w:r>
        <w:rPr>
          <w:rFonts w:ascii="Times New Roman" w:hAnsi="Times New Roman" w:cs="Times New Roman"/>
        </w:rPr>
        <w:t>6.政策创新，先行先试</w:t>
      </w:r>
    </w:p>
    <w:p>
      <w:pPr>
        <w:spacing w:line="570" w:lineRule="exact"/>
        <w:ind w:firstLine="640"/>
      </w:pPr>
      <w:r>
        <w:t>根据海岛开发实际情况，积极探索政策与保障体系的创新，激发旅游发展内生动力，规范海岛开发及环境保护行为，促进海岛旅游跨越发展。聚焦海岛行政管理、海岛保护社会公则、海岛保护与利用政策及海岛开发激励机制等重点领域，率先建立完善的海岛开发先行先试体制。地方对海岛开发利用应依法依规加强监管，坚持保护为优先，优化功能最大化，防止开发过度。</w:t>
      </w:r>
    </w:p>
    <w:bookmarkEnd w:id="30"/>
    <w:bookmarkEnd w:id="31"/>
    <w:p>
      <w:pPr>
        <w:pStyle w:val="4"/>
        <w:numPr>
          <w:ilvl w:val="0"/>
          <w:numId w:val="0"/>
        </w:numPr>
        <w:tabs>
          <w:tab w:val="left" w:pos="993"/>
        </w:tabs>
        <w:spacing w:line="570" w:lineRule="exact"/>
        <w:rPr>
          <w:rFonts w:ascii="Times New Roman" w:cs="Times New Roman"/>
        </w:rPr>
      </w:pPr>
      <w:bookmarkStart w:id="32" w:name="_Toc22903"/>
      <w:r>
        <w:rPr>
          <w:rFonts w:ascii="Times New Roman" w:cs="Times New Roman"/>
        </w:rPr>
        <w:t>（五）总体布局</w:t>
      </w:r>
      <w:bookmarkEnd w:id="32"/>
    </w:p>
    <w:p>
      <w:pPr>
        <w:spacing w:line="570" w:lineRule="exact"/>
        <w:ind w:firstLine="640"/>
      </w:pPr>
      <w:r>
        <w:t>围绕广东省“一核一带一区”战略，构建广东海岛旅游“一核一带，一湾三点”的总体布局。</w:t>
      </w:r>
    </w:p>
    <w:p>
      <w:pPr>
        <w:spacing w:line="240" w:lineRule="auto"/>
        <w:ind w:firstLine="0" w:firstLineChars="0"/>
        <w:jc w:val="center"/>
      </w:pPr>
      <w:bookmarkStart w:id="33" w:name="_Toc467135038"/>
    </w:p>
    <w:p>
      <w:pPr>
        <w:spacing w:line="240" w:lineRule="auto"/>
        <w:ind w:firstLine="0" w:firstLineChars="0"/>
        <w:jc w:val="center"/>
      </w:pPr>
      <w:r>
        <w:rPr>
          <w:rFonts w:ascii="Times New Roman" w:hAnsi="Times New Roman" w:eastAsia="仿宋" w:cs="Times New Roman"/>
          <w:kern w:val="2"/>
          <w:sz w:val="32"/>
          <w:szCs w:val="24"/>
          <w:lang w:val="en-US" w:eastAsia="zh-CN" w:bidi="ar-SA"/>
        </w:rPr>
        <w:pict>
          <v:shape id="图片 4" o:spid="_x0000_s1029" type="#_x0000_t75" style="height:250.6pt;width:452.65pt;rotation:0f;" o:ole="f" fillcolor="#FFFFFF" filled="f" o:preferrelative="t" stroked="f" coordorigin="0,0" coordsize="21600,21600">
            <v:fill on="f" color2="#FFFFFF" focus="0%"/>
            <v:imagedata croptop="5835f" cropbottom="3655f" gain="65536f" blacklevel="0f" gamma="0" o:title="" r:id="rId14"/>
            <o:lock v:ext="edit" position="f" selection="f" grouping="f" rotation="f" cropping="f" text="f" aspectratio="t"/>
            <w10:wrap type="none"/>
            <w10:anchorlock/>
          </v:shape>
        </w:pict>
      </w:r>
    </w:p>
    <w:p>
      <w:pPr>
        <w:spacing w:line="600" w:lineRule="exact"/>
        <w:ind w:firstLine="0" w:firstLineChars="0"/>
        <w:jc w:val="center"/>
        <w:rPr>
          <w:rStyle w:val="146"/>
          <w:rFonts w:ascii="Times New Roman" w:hAnsi="Times New Roman" w:cs="Times New Roman"/>
        </w:rPr>
      </w:pPr>
      <w:r>
        <w:rPr>
          <w:rStyle w:val="146"/>
          <w:rFonts w:ascii="Times New Roman" w:hAnsi="Times New Roman" w:cs="Times New Roman"/>
        </w:rPr>
        <w:t>图3-1广东海岛旅游发展总体布局</w:t>
      </w:r>
    </w:p>
    <w:p>
      <w:pPr>
        <w:pStyle w:val="91"/>
        <w:widowControl w:val="0"/>
        <w:spacing w:line="600" w:lineRule="exac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一核引领，一带贯通</w:t>
      </w:r>
    </w:p>
    <w:p>
      <w:pPr>
        <w:pStyle w:val="7"/>
        <w:spacing w:before="48" w:after="48" w:line="600" w:lineRule="exact"/>
        <w:rPr>
          <w:rFonts w:ascii="Times New Roman" w:hAnsi="Times New Roman" w:cs="Times New Roman"/>
        </w:rPr>
      </w:pPr>
      <w:r>
        <w:rPr>
          <w:rFonts w:ascii="Times New Roman" w:hAnsi="Times New Roman" w:cs="Times New Roman"/>
        </w:rPr>
        <w:t>一核引领：强化珠三角核心区引领作用，培育具有全国示范效应的海岛旅游目的地</w:t>
      </w:r>
    </w:p>
    <w:p>
      <w:pPr>
        <w:spacing w:line="600" w:lineRule="exact"/>
        <w:ind w:firstLine="640"/>
      </w:pPr>
      <w:r>
        <w:t>强化珠三角核心区引领带动作用，对标全球一流海岛旅游目的地，发挥毗邻港澳的区位优势，利用港澳直通车等政策优势，重点发展大众化家庭式综合休闲娱乐、商务会议、邮轮游艇和个性化海岛旅游等度假旅游项目；建设一批主题鲜明、体验丰富的海岛旅游度假区，率先实现高质量发展，形成具有全国示范效应的海岛旅游目的地。</w:t>
      </w:r>
    </w:p>
    <w:p>
      <w:pPr>
        <w:pStyle w:val="7"/>
        <w:spacing w:before="48" w:after="48" w:line="600" w:lineRule="exact"/>
        <w:rPr>
          <w:rFonts w:ascii="Times New Roman" w:hAnsi="Times New Roman" w:cs="Times New Roman"/>
        </w:rPr>
      </w:pPr>
      <w:r>
        <w:rPr>
          <w:rFonts w:ascii="Times New Roman" w:hAnsi="Times New Roman" w:cs="Times New Roman"/>
        </w:rPr>
        <w:t>一带贯通：海丝旅游带贯通沿海，带动东西两翼海岛旅游产业发展</w:t>
      </w:r>
    </w:p>
    <w:p>
      <w:pPr>
        <w:spacing w:line="600" w:lineRule="exact"/>
        <w:ind w:firstLine="640"/>
      </w:pPr>
      <w:r>
        <w:t>打造广东海岛旅游“海上丝绸之路旅游带”。以海陵岛、上川岛、南澳岛独特的海上丝绸之路资源优势建立海岛旅游号召力，以海上丝绸之路历史文化脉络为线，将各个海丝旅游资源点进行整合串联，统筹海陆发展关系，形成广州（南海神庙、南越王博物馆）—惠州（平海古城、巽寮湾、三角洲岛、东升岛）—珠海（万山群岛）—江门（上下川岛）—阳江（海陵岛）—茂名（浪漫海湾、放鸡岛、冼太故里）—湛江（五岛一湾、徐闻古港）的海上丝绸之路旅游带。</w:t>
      </w:r>
    </w:p>
    <w:p>
      <w:pPr>
        <w:spacing w:line="600" w:lineRule="exact"/>
        <w:ind w:firstLine="640"/>
      </w:pPr>
      <w:r>
        <w:t>建设东西两翼的海岛旅游产业发展区。东翼海岛旅游产业发展区以汕头市为中心，包括汕头、潮州2市全域，揭阳市城区和惠来、普宁2县（市），汕尾市城区和海丰、陆丰2县，重点发展归国华侨旅游、商务会议旅游、海峡文化旅游、红色文化旅游和渔家体验旅游等；建设主题式户外培训基地、商务会议型海岛度假区；充分发挥海峡西岸经济区的平台作用，实现海岛旅游客源共享与区域合作，形成粤闽地区重要的旅游目的地。西翼海岛旅游产业发展区以湛江市为中心，包括湛江市全域，茂名市城区，阳江市城区和阳东、阳西2县，重点建设综合性度假区，开发家庭旅游、商务会议、休闲度假旅游、科技探险旅游等；加强与北部湾、琼州海峡旅游圈、海南国际旅游岛的合作，共同打造粤桂琼海洋旅游圈，成为具有国际影响力的休闲度假旅游目的地。</w:t>
      </w:r>
    </w:p>
    <w:p>
      <w:pPr>
        <w:pStyle w:val="91"/>
        <w:widowControl w:val="0"/>
        <w:spacing w:line="600" w:lineRule="exac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一湾领潮，三点聚力</w:t>
      </w:r>
    </w:p>
    <w:p>
      <w:pPr>
        <w:pStyle w:val="7"/>
        <w:spacing w:before="48" w:after="48" w:line="600" w:lineRule="exact"/>
        <w:rPr>
          <w:rFonts w:ascii="Times New Roman" w:hAnsi="Times New Roman" w:cs="Times New Roman"/>
        </w:rPr>
      </w:pPr>
      <w:r>
        <w:rPr>
          <w:rFonts w:ascii="Times New Roman" w:hAnsi="Times New Roman" w:cs="Times New Roman"/>
        </w:rPr>
        <w:t>一湾领潮：依托粤港澳世界级旅游休闲湾区，培育具有世界级影响力的标杆旅游岛</w:t>
      </w:r>
    </w:p>
    <w:p>
      <w:pPr>
        <w:pStyle w:val="37"/>
        <w:spacing w:line="600" w:lineRule="exact"/>
        <w:ind w:firstLine="518" w:firstLineChars="162"/>
        <w:rPr>
          <w:rFonts w:cs="Times New Roman"/>
        </w:rPr>
      </w:pPr>
      <w:r>
        <w:rPr>
          <w:rFonts w:cs="Times New Roman"/>
        </w:rPr>
        <w:t>紧密对接粤港澳世界级旅游休闲湾区建设，发挥万山群岛·横琴岛的区位优势、市场优势、旅游资源组合优势与试点政策优势，打造世界级精品海岛旅游目的地。在未来条件成熟时，探索将东沙群岛打造成为具有世界影响力和综合效益突出的热带特色标杆型旅游岛。</w:t>
      </w:r>
    </w:p>
    <w:p>
      <w:pPr>
        <w:pStyle w:val="7"/>
        <w:spacing w:before="48" w:after="48" w:line="600" w:lineRule="exact"/>
        <w:rPr>
          <w:rFonts w:ascii="Times New Roman" w:hAnsi="Times New Roman" w:cs="Times New Roman"/>
        </w:rPr>
      </w:pPr>
      <w:r>
        <w:rPr>
          <w:rFonts w:ascii="Times New Roman" w:hAnsi="Times New Roman" w:cs="Times New Roman"/>
        </w:rPr>
        <w:t>三点聚力：依托海陵岛、南澳岛、川山群岛迅速打响海岛旅游品牌</w:t>
      </w:r>
    </w:p>
    <w:p>
      <w:pPr>
        <w:pStyle w:val="37"/>
        <w:spacing w:line="600" w:lineRule="exact"/>
        <w:ind w:firstLine="518" w:firstLineChars="162"/>
        <w:rPr>
          <w:rFonts w:cs="Times New Roman"/>
        </w:rPr>
      </w:pPr>
      <w:r>
        <w:rPr>
          <w:rFonts w:cs="Times New Roman"/>
        </w:rPr>
        <w:t>优先发展景观资源优越、文化积淀深厚、旅游项目多样、配套设施齐全、旅游品质较高级、拥有相关政策性扶持的著名海岛。依托海陵岛、南澳岛和川山群岛，捆绑开发周边无居民海岛，迅速打响广东海岛旅游品牌。沿海各市依托各自市场影响力和特色海岛旅游资源，打造一系列主题鲜明的海岛旅游目的地。</w:t>
      </w:r>
    </w:p>
    <w:p>
      <w:pPr>
        <w:pStyle w:val="37"/>
        <w:spacing w:line="600" w:lineRule="exact"/>
        <w:ind w:firstLine="518" w:firstLineChars="162"/>
        <w:rPr>
          <w:rFonts w:cs="Times New Roman"/>
        </w:rPr>
      </w:pPr>
    </w:p>
    <w:bookmarkEnd w:id="33"/>
    <w:p>
      <w:pPr>
        <w:pStyle w:val="88"/>
        <w:numPr>
          <w:ilvl w:val="0"/>
          <w:numId w:val="0"/>
        </w:numPr>
        <w:spacing w:line="600" w:lineRule="exact"/>
        <w:rPr>
          <w:rFonts w:ascii="Times New Roman" w:hAnsi="Times New Roman" w:cs="Times New Roman"/>
        </w:rPr>
      </w:pPr>
      <w:bookmarkStart w:id="34" w:name="_Toc2396"/>
      <w:bookmarkStart w:id="35" w:name="_Toc467495332"/>
      <w:r>
        <w:rPr>
          <w:rFonts w:ascii="Times New Roman" w:hAnsi="Times New Roman" w:cs="Times New Roman"/>
        </w:rPr>
        <w:t>四、重点任务</w:t>
      </w:r>
      <w:bookmarkEnd w:id="34"/>
    </w:p>
    <w:bookmarkEnd w:id="35"/>
    <w:p>
      <w:pPr>
        <w:pStyle w:val="4"/>
        <w:numPr>
          <w:ilvl w:val="0"/>
          <w:numId w:val="0"/>
        </w:numPr>
        <w:spacing w:line="600" w:lineRule="exact"/>
        <w:rPr>
          <w:rFonts w:ascii="Times New Roman" w:cs="Times New Roman"/>
        </w:rPr>
      </w:pPr>
      <w:bookmarkStart w:id="36" w:name="_Toc14066"/>
      <w:r>
        <w:rPr>
          <w:rFonts w:ascii="Times New Roman" w:cs="Times New Roman"/>
        </w:rPr>
        <w:t>（一）模式创新，六大突破科学发展</w:t>
      </w:r>
      <w:bookmarkEnd w:id="36"/>
    </w:p>
    <w:p>
      <w:pPr>
        <w:spacing w:line="600" w:lineRule="exact"/>
        <w:ind w:firstLine="640"/>
      </w:pPr>
      <w:r>
        <w:t>根据岛岸关系和空间聚合特征，结合以旅游产业为主导的有居民海岛、无居民休闲旅游用岛和群礁的发展特点，因类施策，从岛岸联动、岛岸互动、大小互补、岛群协同、独岛领潮和群礁融合六大方向，推进海岛旅游发展模式创新。其中以旅游产业为主导的有居民海岛发展模式包含岛岸联动、大小互补两种模式，无居民休闲旅游用岛包含岛岸互动、岛群协同、独岛领潮三种模式，群礁包含群礁融合一种模式。</w:t>
      </w:r>
    </w:p>
    <w:p>
      <w:pPr>
        <w:pStyle w:val="91"/>
        <w:widowControl w:val="0"/>
        <w:spacing w:line="600" w:lineRule="exact"/>
        <w:rPr>
          <w:rFonts w:ascii="Times New Roman" w:hAnsi="Times New Roman" w:cs="Times New Roman"/>
        </w:rPr>
      </w:pPr>
      <w:r>
        <w:rPr>
          <w:rFonts w:ascii="Times New Roman" w:hAnsi="Times New Roman" w:cs="Times New Roman"/>
        </w:rPr>
        <w:t>1.岛岸联动模式</w:t>
      </w:r>
    </w:p>
    <w:p>
      <w:pPr>
        <w:pStyle w:val="42"/>
        <w:spacing w:line="600" w:lineRule="exact"/>
        <w:rPr>
          <w:rFonts w:cs="Times New Roman"/>
        </w:rPr>
      </w:pPr>
      <w:r>
        <w:rPr>
          <w:rFonts w:cs="Times New Roman"/>
        </w:rPr>
        <w:t>岛岸联动模式适用于与大陆距离不超过2千米的以旅游产业为主导的有居民海岛。这类海岛离大陆近且有居民居住，开发难度较小，应尽可能与所毗邻大陆海岸建立联系，与大陆旅游活动形成协同发展。在功能上可作为大陆城市休闲旅游的组成部分，与大陆海岸旅游形成密切互动。应增强交通便捷性和物质供应保障，尽可能利用大陆上的基础设施，降低海岛开发难度。</w:t>
      </w:r>
    </w:p>
    <w:p>
      <w:pPr>
        <w:pStyle w:val="42"/>
        <w:spacing w:line="600" w:lineRule="exact"/>
        <w:rPr>
          <w:rFonts w:cs="Times New Roman"/>
        </w:rPr>
      </w:pPr>
      <w:r>
        <w:rPr>
          <w:rFonts w:cs="Times New Roman"/>
        </w:rPr>
        <w:t>以岛岸联动模式推进14个海岛的旅游开发。重点推进5处共6个海岛的建设，加快发展东莞威远岛、广州海鸥岛、珠海淇澳岛、湛江南三岛、潮州西澳-汛洲双岛。</w:t>
      </w:r>
    </w:p>
    <w:p>
      <w:pPr>
        <w:ind w:firstLine="0" w:firstLineChars="0"/>
        <w:jc w:val="center"/>
        <w:rPr>
          <w:rStyle w:val="146"/>
          <w:rFonts w:ascii="Times New Roman" w:hAnsi="Times New Roman" w:cs="Times New Roman"/>
        </w:rPr>
      </w:pPr>
      <w:r>
        <w:rPr>
          <w:rStyle w:val="146"/>
          <w:rFonts w:ascii="Times New Roman" w:hAnsi="Times New Roman" w:cs="Times New Roman"/>
        </w:rPr>
        <w:t>表4-1岛岸联动发展模式的海岛</w:t>
      </w:r>
    </w:p>
    <w:tbl>
      <w:tblPr>
        <w:tblStyle w:val="35"/>
        <w:tblW w:w="907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64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b/>
                <w:bCs/>
                <w:kern w:val="0"/>
                <w:sz w:val="24"/>
              </w:rPr>
            </w:pPr>
            <w:r>
              <w:rPr>
                <w:rFonts w:eastAsia="宋体"/>
                <w:b/>
                <w:bCs/>
                <w:kern w:val="0"/>
                <w:sz w:val="24"/>
              </w:rPr>
              <w:t>城市</w:t>
            </w:r>
          </w:p>
        </w:tc>
        <w:tc>
          <w:tcPr>
            <w:tcW w:w="6407" w:type="dxa"/>
            <w:vAlign w:val="center"/>
          </w:tcPr>
          <w:p>
            <w:pPr>
              <w:spacing w:line="320" w:lineRule="exact"/>
              <w:ind w:firstLine="0" w:firstLineChars="0"/>
              <w:jc w:val="center"/>
              <w:rPr>
                <w:rFonts w:eastAsia="宋体"/>
                <w:b/>
                <w:bCs/>
                <w:kern w:val="0"/>
                <w:sz w:val="24"/>
              </w:rPr>
            </w:pPr>
            <w:r>
              <w:rPr>
                <w:rFonts w:eastAsia="宋体"/>
                <w:b/>
                <w:bCs/>
                <w:kern w:val="0"/>
                <w:sz w:val="24"/>
              </w:rPr>
              <w:t>适用的海岛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潮州</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西澳岛、汛洲岛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汕头</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妈屿岛、达濠岛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汕尾</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小岛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惠州</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盐洲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东莞</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威远岛、木棉山岛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广州</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海鸥岛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珠海</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淇澳岛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江门</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盘皇岛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茂名</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大洲（水东岛）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65" w:type="dxa"/>
            <w:vAlign w:val="center"/>
          </w:tcPr>
          <w:p>
            <w:pPr>
              <w:spacing w:line="320" w:lineRule="exact"/>
              <w:ind w:firstLine="0" w:firstLineChars="0"/>
              <w:jc w:val="center"/>
              <w:rPr>
                <w:rFonts w:eastAsia="宋体"/>
                <w:kern w:val="0"/>
                <w:sz w:val="24"/>
              </w:rPr>
            </w:pPr>
            <w:r>
              <w:rPr>
                <w:rFonts w:eastAsia="宋体"/>
                <w:kern w:val="0"/>
                <w:sz w:val="24"/>
              </w:rPr>
              <w:t>湛江</w:t>
            </w:r>
          </w:p>
        </w:tc>
        <w:tc>
          <w:tcPr>
            <w:tcW w:w="6407" w:type="dxa"/>
            <w:vAlign w:val="center"/>
          </w:tcPr>
          <w:p>
            <w:pPr>
              <w:spacing w:line="320" w:lineRule="exact"/>
              <w:ind w:firstLine="0" w:firstLineChars="0"/>
              <w:jc w:val="center"/>
              <w:rPr>
                <w:rFonts w:eastAsia="宋体"/>
                <w:kern w:val="0"/>
                <w:sz w:val="24"/>
              </w:rPr>
            </w:pPr>
            <w:r>
              <w:rPr>
                <w:rFonts w:eastAsia="宋体"/>
                <w:kern w:val="0"/>
                <w:sz w:val="24"/>
              </w:rPr>
              <w:t>南三岛、特呈岛</w:t>
            </w:r>
          </w:p>
        </w:tc>
      </w:tr>
    </w:tbl>
    <w:p>
      <w:pPr>
        <w:pStyle w:val="91"/>
        <w:widowControl w:val="0"/>
        <w:spacing w:line="600" w:lineRule="exact"/>
        <w:rPr>
          <w:rFonts w:ascii="Times New Roman" w:hAnsi="Times New Roman" w:cs="Times New Roman"/>
        </w:rPr>
      </w:pPr>
      <w:r>
        <w:rPr>
          <w:rFonts w:ascii="Times New Roman" w:hAnsi="Times New Roman" w:cs="Times New Roman"/>
        </w:rPr>
        <w:t>2.岛岸互动模式</w:t>
      </w:r>
    </w:p>
    <w:p>
      <w:pPr>
        <w:pStyle w:val="42"/>
        <w:spacing w:line="600" w:lineRule="exact"/>
        <w:rPr>
          <w:rFonts w:cs="Times New Roman"/>
        </w:rPr>
      </w:pPr>
      <w:r>
        <w:rPr>
          <w:rFonts w:cs="Times New Roman"/>
        </w:rPr>
        <w:t>岛</w:t>
      </w:r>
      <w:r>
        <w:rPr>
          <w:rFonts w:cs="Times New Roman"/>
          <w:spacing w:val="-6"/>
        </w:rPr>
        <w:t>岸互动模式适用于与大陆距离不超过2千米的无居民休闲旅游用岛。这类海岛离大陆近，旅游发展难度较小，应尽可能与所毗邻大陆海岸联合，与大陆旅游活动形成差异化发展。在功能上可作为大陆城市休闲旅游的组成部分，或作为大陆海岸毗邻景区的海岛型游览景点。尽可能利用大陆上的基础设施，降低海岛旅游发展难度。惠州和汕尾地区部分位于自然保护区内的无居民休闲旅游用岛应注意协调海岛旅游发展与生态环境保护的关系。</w:t>
      </w:r>
    </w:p>
    <w:p>
      <w:pPr>
        <w:pStyle w:val="42"/>
        <w:spacing w:line="600" w:lineRule="exact"/>
        <w:rPr>
          <w:rFonts w:cs="Times New Roman"/>
        </w:rPr>
      </w:pPr>
      <w:r>
        <w:rPr>
          <w:rFonts w:cs="Times New Roman"/>
        </w:rPr>
        <w:t>以岛岸互动模式推进83个海岛的旅游发展。重点推进4个海岛的建设，加快发展深圳赖氏洲、汕尾遮浪岩、深圳洲仔岛，在满足资源保护要求的前提下有条件发展惠州惠东三角洲。</w:t>
      </w:r>
    </w:p>
    <w:p>
      <w:pPr>
        <w:ind w:firstLine="0" w:firstLineChars="0"/>
        <w:jc w:val="center"/>
        <w:rPr>
          <w:rStyle w:val="146"/>
          <w:rFonts w:ascii="Times New Roman" w:hAnsi="Times New Roman" w:cs="Times New Roman"/>
        </w:rPr>
      </w:pPr>
      <w:r>
        <w:rPr>
          <w:rStyle w:val="146"/>
          <w:rFonts w:ascii="Times New Roman" w:hAnsi="Times New Roman" w:cs="Times New Roman"/>
        </w:rPr>
        <w:t>表4-2岛岸互动发展模式的海岛</w:t>
      </w:r>
    </w:p>
    <w:tbl>
      <w:tblPr>
        <w:tblStyle w:val="35"/>
        <w:tblW w:w="9186" w:type="dxa"/>
        <w:jc w:val="center"/>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4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240" w:lineRule="auto"/>
              <w:ind w:firstLine="0" w:firstLineChars="0"/>
              <w:jc w:val="center"/>
              <w:rPr>
                <w:rFonts w:eastAsia="宋体"/>
                <w:b/>
                <w:bCs/>
                <w:kern w:val="0"/>
                <w:sz w:val="24"/>
              </w:rPr>
            </w:pPr>
            <w:r>
              <w:rPr>
                <w:rFonts w:eastAsia="宋体"/>
                <w:b/>
                <w:bCs/>
                <w:kern w:val="0"/>
                <w:sz w:val="24"/>
              </w:rPr>
              <w:t>城市</w:t>
            </w:r>
          </w:p>
        </w:tc>
        <w:tc>
          <w:tcPr>
            <w:tcW w:w="8472" w:type="dxa"/>
            <w:vAlign w:val="center"/>
          </w:tcPr>
          <w:p>
            <w:pPr>
              <w:spacing w:line="240" w:lineRule="auto"/>
              <w:ind w:firstLine="0" w:firstLineChars="0"/>
              <w:jc w:val="center"/>
              <w:rPr>
                <w:rFonts w:eastAsia="宋体"/>
                <w:b/>
                <w:bCs/>
                <w:kern w:val="0"/>
                <w:sz w:val="24"/>
              </w:rPr>
            </w:pPr>
            <w:r>
              <w:rPr>
                <w:rFonts w:eastAsia="宋体"/>
                <w:b/>
                <w:bCs/>
                <w:kern w:val="0"/>
                <w:sz w:val="24"/>
              </w:rPr>
              <w:t>适用的海岛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汕头</w:t>
            </w:r>
          </w:p>
        </w:tc>
        <w:tc>
          <w:tcPr>
            <w:tcW w:w="8472" w:type="dxa"/>
            <w:vAlign w:val="center"/>
          </w:tcPr>
          <w:p>
            <w:pPr>
              <w:spacing w:line="360" w:lineRule="exact"/>
              <w:ind w:firstLine="0" w:firstLineChars="0"/>
              <w:rPr>
                <w:rFonts w:eastAsia="宋体"/>
                <w:kern w:val="0"/>
                <w:sz w:val="24"/>
              </w:rPr>
            </w:pPr>
            <w:r>
              <w:rPr>
                <w:rFonts w:eastAsia="宋体"/>
                <w:kern w:val="0"/>
                <w:sz w:val="24"/>
              </w:rPr>
              <w:t>德洲岛、屐桃屿、鸡心屿、龟山岛、头发尾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汕尾</w:t>
            </w:r>
          </w:p>
        </w:tc>
        <w:tc>
          <w:tcPr>
            <w:tcW w:w="8472" w:type="dxa"/>
            <w:vAlign w:val="center"/>
          </w:tcPr>
          <w:p>
            <w:pPr>
              <w:spacing w:line="360" w:lineRule="exact"/>
              <w:ind w:firstLine="0" w:firstLineChars="0"/>
              <w:rPr>
                <w:rFonts w:eastAsia="宋体"/>
                <w:kern w:val="0"/>
                <w:sz w:val="24"/>
              </w:rPr>
            </w:pPr>
            <w:r>
              <w:rPr>
                <w:rFonts w:eastAsia="宋体"/>
                <w:kern w:val="0"/>
                <w:sz w:val="24"/>
              </w:rPr>
              <w:t>遮浪岩、青岛尾、虎头、平滩、汕尾尖石、三姐妹石、头滩、卵石、拦门、东头尖、田寮岛、四石柱四岛、四石柱岛、散石北岛、蛤澎仔、燕坞群滩、尖石仔、三脚虎、青鸟尾南岛、二滩、三滩、海猪仔、犁壁、担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惠州</w:t>
            </w:r>
          </w:p>
        </w:tc>
        <w:tc>
          <w:tcPr>
            <w:tcW w:w="8472" w:type="dxa"/>
            <w:vAlign w:val="center"/>
          </w:tcPr>
          <w:p>
            <w:pPr>
              <w:spacing w:line="360" w:lineRule="exact"/>
              <w:ind w:firstLine="0" w:firstLineChars="0"/>
              <w:rPr>
                <w:rFonts w:eastAsia="宋体"/>
                <w:kern w:val="0"/>
                <w:sz w:val="24"/>
              </w:rPr>
            </w:pPr>
            <w:r>
              <w:rPr>
                <w:rFonts w:eastAsia="宋体"/>
                <w:kern w:val="0"/>
                <w:sz w:val="24"/>
              </w:rPr>
              <w:t>米塔仔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深圳</w:t>
            </w:r>
          </w:p>
        </w:tc>
        <w:tc>
          <w:tcPr>
            <w:tcW w:w="8472" w:type="dxa"/>
            <w:vAlign w:val="center"/>
          </w:tcPr>
          <w:p>
            <w:pPr>
              <w:spacing w:line="360" w:lineRule="exact"/>
              <w:ind w:firstLine="0" w:firstLineChars="0"/>
              <w:rPr>
                <w:rFonts w:eastAsia="宋体"/>
                <w:kern w:val="0"/>
                <w:sz w:val="24"/>
              </w:rPr>
            </w:pPr>
            <w:r>
              <w:rPr>
                <w:rFonts w:eastAsia="宋体"/>
                <w:kern w:val="0"/>
                <w:sz w:val="24"/>
              </w:rPr>
              <w:t>赖氏洲、洲仔岛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广州</w:t>
            </w:r>
          </w:p>
        </w:tc>
        <w:tc>
          <w:tcPr>
            <w:tcW w:w="8472" w:type="dxa"/>
            <w:vAlign w:val="center"/>
          </w:tcPr>
          <w:p>
            <w:pPr>
              <w:spacing w:line="360" w:lineRule="exact"/>
              <w:ind w:firstLine="0" w:firstLineChars="0"/>
              <w:rPr>
                <w:rFonts w:eastAsia="宋体"/>
                <w:kern w:val="0"/>
                <w:sz w:val="24"/>
              </w:rPr>
            </w:pPr>
            <w:r>
              <w:rPr>
                <w:rFonts w:eastAsia="宋体"/>
                <w:kern w:val="0"/>
                <w:sz w:val="24"/>
              </w:rPr>
              <w:t>上横挡岛、下横挡岛、凫洲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珠海</w:t>
            </w:r>
          </w:p>
        </w:tc>
        <w:tc>
          <w:tcPr>
            <w:tcW w:w="8472" w:type="dxa"/>
            <w:vAlign w:val="center"/>
          </w:tcPr>
          <w:p>
            <w:pPr>
              <w:spacing w:line="360" w:lineRule="exact"/>
              <w:ind w:firstLine="0" w:firstLineChars="0"/>
              <w:rPr>
                <w:rFonts w:eastAsia="宋体"/>
                <w:kern w:val="0"/>
                <w:sz w:val="24"/>
              </w:rPr>
            </w:pPr>
            <w:r>
              <w:rPr>
                <w:rFonts w:eastAsia="宋体"/>
                <w:kern w:val="0"/>
                <w:sz w:val="24"/>
              </w:rPr>
              <w:t>野狸岛、交杯岛、珠海洲仔岛、横沥岛、渔女四岛、渔女三岛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江门</w:t>
            </w:r>
          </w:p>
        </w:tc>
        <w:tc>
          <w:tcPr>
            <w:tcW w:w="8472" w:type="dxa"/>
            <w:vAlign w:val="center"/>
          </w:tcPr>
          <w:p>
            <w:pPr>
              <w:spacing w:line="360" w:lineRule="exact"/>
              <w:ind w:firstLine="0" w:firstLineChars="0"/>
              <w:rPr>
                <w:rFonts w:eastAsia="宋体"/>
                <w:kern w:val="0"/>
                <w:sz w:val="24"/>
              </w:rPr>
            </w:pPr>
            <w:r>
              <w:rPr>
                <w:rFonts w:eastAsia="宋体"/>
                <w:kern w:val="0"/>
                <w:sz w:val="24"/>
              </w:rPr>
              <w:t>神灶岛、鸦洲岛、狮子洲、台山白鹤洲、小郁头山岛、独崖岛、二崖岛、铜鼓排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阳江</w:t>
            </w:r>
          </w:p>
        </w:tc>
        <w:tc>
          <w:tcPr>
            <w:tcW w:w="8472" w:type="dxa"/>
            <w:vAlign w:val="center"/>
          </w:tcPr>
          <w:p>
            <w:pPr>
              <w:spacing w:line="360" w:lineRule="exact"/>
              <w:ind w:firstLine="0" w:firstLineChars="0"/>
              <w:rPr>
                <w:rFonts w:eastAsia="宋体"/>
                <w:kern w:val="0"/>
                <w:sz w:val="24"/>
              </w:rPr>
            </w:pPr>
            <w:r>
              <w:rPr>
                <w:rFonts w:eastAsia="宋体"/>
                <w:kern w:val="0"/>
                <w:sz w:val="24"/>
              </w:rPr>
              <w:t>梨壁岭、鸡母岭、龟岭、阳西大洲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茂名</w:t>
            </w:r>
          </w:p>
        </w:tc>
        <w:tc>
          <w:tcPr>
            <w:tcW w:w="8472" w:type="dxa"/>
            <w:vAlign w:val="center"/>
          </w:tcPr>
          <w:p>
            <w:pPr>
              <w:spacing w:line="360" w:lineRule="exact"/>
              <w:ind w:firstLine="0" w:firstLineChars="0"/>
              <w:rPr>
                <w:rFonts w:eastAsia="宋体"/>
                <w:kern w:val="0"/>
                <w:sz w:val="24"/>
              </w:rPr>
            </w:pPr>
            <w:r>
              <w:rPr>
                <w:rFonts w:eastAsia="宋体"/>
                <w:kern w:val="0"/>
                <w:sz w:val="24"/>
              </w:rPr>
              <w:t>电白三洲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湛江</w:t>
            </w:r>
          </w:p>
        </w:tc>
        <w:tc>
          <w:tcPr>
            <w:tcW w:w="8472" w:type="dxa"/>
            <w:vAlign w:val="center"/>
          </w:tcPr>
          <w:p>
            <w:pPr>
              <w:spacing w:line="360" w:lineRule="exact"/>
              <w:ind w:firstLine="0" w:firstLineChars="0"/>
              <w:rPr>
                <w:rFonts w:eastAsia="宋体"/>
                <w:kern w:val="0"/>
                <w:sz w:val="24"/>
              </w:rPr>
            </w:pPr>
            <w:r>
              <w:rPr>
                <w:rFonts w:eastAsia="宋体"/>
                <w:kern w:val="0"/>
                <w:sz w:val="24"/>
              </w:rPr>
              <w:t>赤豆寮岛、一墩、三墩、二墩、鸡笼山、橹时墩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b/>
                <w:bCs/>
                <w:kern w:val="0"/>
                <w:sz w:val="24"/>
              </w:rPr>
            </w:pPr>
            <w:r>
              <w:rPr>
                <w:rFonts w:eastAsia="宋体"/>
                <w:b/>
                <w:bCs/>
                <w:kern w:val="0"/>
                <w:sz w:val="24"/>
              </w:rPr>
              <w:t>城市</w:t>
            </w:r>
          </w:p>
        </w:tc>
        <w:tc>
          <w:tcPr>
            <w:tcW w:w="8472" w:type="dxa"/>
            <w:vAlign w:val="center"/>
          </w:tcPr>
          <w:p>
            <w:pPr>
              <w:spacing w:line="360" w:lineRule="exact"/>
              <w:ind w:firstLine="0" w:firstLineChars="0"/>
              <w:jc w:val="center"/>
              <w:rPr>
                <w:rFonts w:eastAsia="宋体"/>
                <w:b/>
                <w:bCs/>
                <w:kern w:val="0"/>
                <w:sz w:val="24"/>
              </w:rPr>
            </w:pPr>
            <w:r>
              <w:rPr>
                <w:rFonts w:eastAsia="宋体"/>
                <w:b/>
                <w:bCs/>
                <w:kern w:val="0"/>
                <w:sz w:val="24"/>
              </w:rPr>
              <w:t>有条件适用的海岛（位于自然保护区实验区）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汕尾</w:t>
            </w:r>
          </w:p>
        </w:tc>
        <w:tc>
          <w:tcPr>
            <w:tcW w:w="8472" w:type="dxa"/>
            <w:vAlign w:val="center"/>
          </w:tcPr>
          <w:p>
            <w:pPr>
              <w:spacing w:line="360" w:lineRule="exact"/>
              <w:ind w:firstLine="0" w:firstLineChars="0"/>
              <w:rPr>
                <w:rFonts w:eastAsia="宋体"/>
                <w:kern w:val="0"/>
                <w:sz w:val="24"/>
              </w:rPr>
            </w:pPr>
            <w:r>
              <w:rPr>
                <w:rFonts w:eastAsia="宋体"/>
                <w:kern w:val="0"/>
                <w:sz w:val="24"/>
              </w:rPr>
              <w:t>冬瓜屿、内乌滩、乌滩、大泵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4" w:type="dxa"/>
            <w:vAlign w:val="center"/>
          </w:tcPr>
          <w:p>
            <w:pPr>
              <w:spacing w:line="360" w:lineRule="exact"/>
              <w:ind w:firstLine="0" w:firstLineChars="0"/>
              <w:jc w:val="center"/>
              <w:rPr>
                <w:rFonts w:eastAsia="宋体"/>
                <w:kern w:val="0"/>
                <w:sz w:val="24"/>
              </w:rPr>
            </w:pPr>
            <w:r>
              <w:rPr>
                <w:rFonts w:eastAsia="宋体"/>
                <w:kern w:val="0"/>
                <w:sz w:val="24"/>
              </w:rPr>
              <w:t>惠州</w:t>
            </w:r>
          </w:p>
        </w:tc>
        <w:tc>
          <w:tcPr>
            <w:tcW w:w="8472" w:type="dxa"/>
            <w:vAlign w:val="center"/>
          </w:tcPr>
          <w:p>
            <w:pPr>
              <w:spacing w:line="360" w:lineRule="exact"/>
              <w:ind w:firstLine="0" w:firstLineChars="0"/>
              <w:rPr>
                <w:rFonts w:eastAsia="宋体"/>
                <w:kern w:val="0"/>
                <w:sz w:val="24"/>
              </w:rPr>
            </w:pPr>
            <w:r>
              <w:rPr>
                <w:rFonts w:eastAsia="宋体"/>
                <w:kern w:val="0"/>
                <w:sz w:val="24"/>
              </w:rPr>
              <w:t>惠东三角洲、潮洲、宝塔洲、坪峙岛、虼仔洲、猫洲、桑洲、鹅公洲、虎洲、坪峙仔、内园洲、惠阳三杯酒、鹅兜、刀石洲、白虼洲、老虎排、内赤洲、独洲仔、横排</w:t>
            </w:r>
          </w:p>
        </w:tc>
      </w:tr>
    </w:tbl>
    <w:p>
      <w:pPr>
        <w:pStyle w:val="91"/>
        <w:widowControl w:val="0"/>
        <w:spacing w:line="600" w:lineRule="exact"/>
        <w:rPr>
          <w:rFonts w:ascii="Times New Roman" w:hAnsi="Times New Roman" w:cs="Times New Roman"/>
        </w:rPr>
      </w:pPr>
      <w:r>
        <w:rPr>
          <w:rFonts w:ascii="Times New Roman" w:hAnsi="Times New Roman" w:cs="Times New Roman"/>
        </w:rPr>
        <w:t>3.大小互补模式</w:t>
      </w:r>
    </w:p>
    <w:p>
      <w:pPr>
        <w:pStyle w:val="42"/>
        <w:spacing w:line="600" w:lineRule="exact"/>
        <w:rPr>
          <w:rFonts w:cs="Times New Roman"/>
        </w:rPr>
      </w:pPr>
      <w:r>
        <w:rPr>
          <w:rFonts w:cs="Times New Roman"/>
        </w:rPr>
        <w:t>大小互补模式是以“大”岛带动“小”岛发展的模式。“大”岛是指具有离陆地稍远，但具有旅游影响力、以旅游产业为主导的有居民海岛。“小”岛是与“大”岛距离不超过2千米的无居民休闲旅游用岛以及与个别距离大陆较远的“大”岛距离不超过5千米的无居民休闲旅游用岛，或具有较高旅游发展潜力的同等地理区位条件的农林渔业用岛和公共服务用岛。大小互补模式应重点提升“大”岛的旅游综合吸引力，各“小”岛依托“大”岛拓展差异化的专项旅游产品。“大”岛宜优先发展大众游和综合游，周边的“小”岛可重点发展高端游、特色游和体验游。“小”岛应依托“大”岛的基础设施降低自身发展难度，减少建设成本。</w:t>
      </w:r>
    </w:p>
    <w:p>
      <w:pPr>
        <w:pStyle w:val="42"/>
        <w:spacing w:line="600" w:lineRule="exact"/>
        <w:rPr>
          <w:rFonts w:cs="Times New Roman"/>
        </w:rPr>
      </w:pPr>
      <w:r>
        <w:rPr>
          <w:rFonts w:cs="Times New Roman"/>
        </w:rPr>
        <w:t>以大小互补模式推进13组共59个海岛的旅游发展。重点推进8组共48个海岛的利用，包括珠海横琴岛及周边小岛、阳江海陵岛及周边小岛、汕头南澳岛及周边小岛、江门上下川岛及周边小岛、珠海大万山岛及周边小岛、珠海东澳岛及周边小岛、珠海桂山岛及周边小岛、珠海外伶仃岛及周边小岛。</w:t>
      </w:r>
    </w:p>
    <w:p>
      <w:pPr>
        <w:spacing w:line="600" w:lineRule="exact"/>
        <w:ind w:firstLine="562"/>
        <w:jc w:val="center"/>
        <w:rPr>
          <w:rStyle w:val="146"/>
          <w:rFonts w:ascii="Times New Roman" w:hAnsi="Times New Roman" w:cs="Times New Roman"/>
        </w:rPr>
      </w:pPr>
      <w:r>
        <w:rPr>
          <w:rStyle w:val="146"/>
          <w:rFonts w:ascii="Times New Roman" w:hAnsi="Times New Roman" w:cs="Times New Roman"/>
        </w:rPr>
        <w:t>表4-3大小互补发展模式的海岛</w:t>
      </w:r>
    </w:p>
    <w:tbl>
      <w:tblPr>
        <w:tblStyle w:val="35"/>
        <w:tblW w:w="912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2"/>
        <w:gridCol w:w="2103"/>
        <w:gridCol w:w="6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tblHeader/>
          <w:jc w:val="center"/>
        </w:trPr>
        <w:tc>
          <w:tcPr>
            <w:tcW w:w="732" w:type="dxa"/>
            <w:tcMar>
              <w:left w:w="0" w:type="dxa"/>
              <w:right w:w="0" w:type="dxa"/>
            </w:tcMar>
            <w:vAlign w:val="center"/>
          </w:tcPr>
          <w:p>
            <w:pPr>
              <w:pStyle w:val="96"/>
              <w:snapToGrid w:val="0"/>
              <w:spacing w:beforeAutospacing="1" w:afterAutospacing="1" w:line="360" w:lineRule="exact"/>
              <w:rPr>
                <w:rFonts w:ascii="Times New Roman" w:hAnsi="Times New Roman" w:cs="Times New Roman"/>
                <w:color w:val="auto"/>
              </w:rPr>
            </w:pPr>
            <w:r>
              <w:rPr>
                <w:rFonts w:ascii="Times New Roman" w:hAnsi="Times New Roman" w:cs="Times New Roman"/>
                <w:color w:val="auto"/>
              </w:rPr>
              <w:t>城市</w:t>
            </w:r>
          </w:p>
        </w:tc>
        <w:tc>
          <w:tcPr>
            <w:tcW w:w="2103" w:type="dxa"/>
            <w:tcMar>
              <w:left w:w="0" w:type="dxa"/>
              <w:right w:w="0" w:type="dxa"/>
            </w:tcMar>
            <w:vAlign w:val="center"/>
          </w:tcPr>
          <w:p>
            <w:pPr>
              <w:pStyle w:val="96"/>
              <w:snapToGrid w:val="0"/>
              <w:spacing w:beforeAutospacing="1" w:afterAutospacing="1" w:line="360" w:lineRule="exact"/>
              <w:rPr>
                <w:rFonts w:ascii="Times New Roman" w:hAnsi="Times New Roman" w:cs="Times New Roman"/>
                <w:color w:val="auto"/>
              </w:rPr>
            </w:pPr>
            <w:r>
              <w:rPr>
                <w:rFonts w:ascii="Times New Roman" w:hAnsi="Times New Roman" w:cs="Times New Roman"/>
                <w:color w:val="auto"/>
              </w:rPr>
              <w:t>大岛</w:t>
            </w:r>
          </w:p>
        </w:tc>
        <w:tc>
          <w:tcPr>
            <w:tcW w:w="6292" w:type="dxa"/>
            <w:tcMar>
              <w:left w:w="0" w:type="dxa"/>
              <w:right w:w="0" w:type="dxa"/>
            </w:tcMar>
            <w:vAlign w:val="center"/>
          </w:tcPr>
          <w:p>
            <w:pPr>
              <w:pStyle w:val="96"/>
              <w:snapToGrid w:val="0"/>
              <w:spacing w:beforeAutospacing="1" w:afterAutospacing="1" w:line="360" w:lineRule="exact"/>
              <w:rPr>
                <w:rFonts w:ascii="Times New Roman" w:hAnsi="Times New Roman" w:cs="Times New Roman"/>
                <w:color w:val="auto"/>
              </w:rPr>
            </w:pPr>
            <w:r>
              <w:rPr>
                <w:rFonts w:ascii="Times New Roman" w:hAnsi="Times New Roman" w:cs="Times New Roman"/>
                <w:color w:val="auto"/>
              </w:rPr>
              <w:t>小岛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潮州</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海山岛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圆屿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汕头</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南澳岛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猎屿、案屿、官屿、塔屿、凤屿、狮仔屿、案仔屿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restart"/>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珠海</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横琴岛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大三洲、小三洲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担杆岛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二洲岛、直湾岛、细抯岛、细岗洲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大万山岛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小万山岛、竹洲、白沥岛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东澳岛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桂山岛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外伶仃岛</w:t>
            </w:r>
          </w:p>
        </w:tc>
        <w:tc>
          <w:tcPr>
            <w:tcW w:w="6292" w:type="dxa"/>
            <w:tcMar>
              <w:left w:w="28" w:type="dxa"/>
              <w:right w:w="0" w:type="dxa"/>
            </w:tcMar>
            <w:vAlign w:val="center"/>
          </w:tcPr>
          <w:p>
            <w:pPr>
              <w:adjustRightInd w:val="0"/>
              <w:snapToGrid w:val="0"/>
              <w:spacing w:beforeAutospacing="1" w:afterAutospacing="1" w:line="240" w:lineRule="auto"/>
              <w:ind w:firstLine="0" w:firstLineChars="0"/>
              <w:rPr>
                <w:rFonts w:eastAsia="宋体"/>
                <w:kern w:val="0"/>
                <w:sz w:val="24"/>
              </w:rPr>
            </w:pPr>
            <w:r>
              <w:rPr>
                <w:rFonts w:eastAsia="宋体"/>
                <w:kern w:val="0"/>
                <w:sz w:val="24"/>
              </w:rPr>
              <w:t>三门岛、竹湾头岛、黑洲、横岗岛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restart"/>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江门</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上川岛、下川岛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王府洲、坪洲、琵琶洲、观鱼洲、山猪洲、马骝公岛、狗尾岛、大风北岛、格勒岛、大招头岛、磴口排、墨斗岛、宝鸭洲、高冠洲、飞沙洲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大襟岛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周边具有较高旅游发展潜力的无居民海岛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阳江</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海陵岛</w:t>
            </w:r>
          </w:p>
        </w:tc>
        <w:tc>
          <w:tcPr>
            <w:tcW w:w="6292" w:type="dxa"/>
            <w:tcMar>
              <w:left w:w="28" w:type="dxa"/>
              <w:right w:w="0" w:type="dxa"/>
            </w:tcMar>
            <w:vAlign w:val="center"/>
          </w:tcPr>
          <w:p>
            <w:pPr>
              <w:pStyle w:val="95"/>
              <w:adjustRightInd/>
              <w:spacing w:beforeAutospacing="1" w:afterAutospacing="1" w:line="360" w:lineRule="exact"/>
              <w:jc w:val="left"/>
              <w:rPr>
                <w:rFonts w:cs="Times New Roman"/>
                <w:szCs w:val="24"/>
              </w:rPr>
            </w:pPr>
            <w:r>
              <w:rPr>
                <w:rFonts w:cs="Times New Roman"/>
                <w:szCs w:val="24"/>
              </w:rPr>
              <w:t>三山、龟山、老鼠山、西寺仔山、寺仔山、马尾洲仔、马尾大洲、鸦洲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restart"/>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湛江</w:t>
            </w: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东海岛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鲎沙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jc w:val="center"/>
        </w:trPr>
        <w:tc>
          <w:tcPr>
            <w:tcW w:w="732" w:type="dxa"/>
            <w:vMerge w:val="continue"/>
            <w:tcMar>
              <w:left w:w="0" w:type="dxa"/>
              <w:right w:w="0" w:type="dxa"/>
            </w:tcMar>
            <w:vAlign w:val="center"/>
          </w:tcPr>
          <w:p>
            <w:pPr>
              <w:pStyle w:val="95"/>
              <w:adjustRightInd/>
              <w:spacing w:beforeAutospacing="1" w:afterAutospacing="1" w:line="360" w:lineRule="exact"/>
              <w:jc w:val="center"/>
              <w:rPr>
                <w:rFonts w:cs="Times New Roman"/>
                <w:szCs w:val="24"/>
              </w:rPr>
            </w:pPr>
          </w:p>
        </w:tc>
        <w:tc>
          <w:tcPr>
            <w:tcW w:w="2103" w:type="dxa"/>
            <w:tcMar>
              <w:left w:w="0" w:type="dxa"/>
              <w:right w:w="0" w:type="dxa"/>
            </w:tcMar>
            <w:vAlign w:val="center"/>
          </w:tcPr>
          <w:p>
            <w:pPr>
              <w:pStyle w:val="95"/>
              <w:adjustRightInd/>
              <w:spacing w:beforeAutospacing="1" w:afterAutospacing="1" w:line="360" w:lineRule="exact"/>
              <w:jc w:val="center"/>
              <w:rPr>
                <w:rFonts w:cs="Times New Roman"/>
                <w:szCs w:val="24"/>
              </w:rPr>
            </w:pPr>
            <w:r>
              <w:rPr>
                <w:rFonts w:cs="Times New Roman"/>
                <w:szCs w:val="24"/>
              </w:rPr>
              <w:t>硇洲岛</w:t>
            </w:r>
          </w:p>
        </w:tc>
        <w:tc>
          <w:tcPr>
            <w:tcW w:w="6292" w:type="dxa"/>
            <w:tcMar>
              <w:left w:w="28" w:type="dxa"/>
              <w:right w:w="0" w:type="dxa"/>
            </w:tcMar>
            <w:vAlign w:val="center"/>
          </w:tcPr>
          <w:p>
            <w:pPr>
              <w:pStyle w:val="95"/>
              <w:adjustRightInd/>
              <w:spacing w:beforeAutospacing="1" w:afterAutospacing="1" w:line="360" w:lineRule="exact"/>
              <w:rPr>
                <w:rFonts w:cs="Times New Roman"/>
                <w:szCs w:val="24"/>
              </w:rPr>
            </w:pPr>
            <w:r>
              <w:rPr>
                <w:rFonts w:cs="Times New Roman"/>
                <w:szCs w:val="24"/>
              </w:rPr>
              <w:t>周边具有较高旅游发展潜力的农林渔业用岛及公共服务用岛</w:t>
            </w:r>
          </w:p>
        </w:tc>
      </w:tr>
    </w:tbl>
    <w:p>
      <w:pPr>
        <w:pStyle w:val="91"/>
        <w:widowControl w:val="0"/>
        <w:spacing w:line="600" w:lineRule="exact"/>
        <w:rPr>
          <w:rFonts w:ascii="Times New Roman" w:hAnsi="Times New Roman" w:cs="Times New Roman"/>
        </w:rPr>
      </w:pPr>
      <w:r>
        <w:rPr>
          <w:rFonts w:ascii="Times New Roman" w:hAnsi="Times New Roman" w:cs="Times New Roman"/>
        </w:rPr>
        <w:t>4.岛群协同模式</w:t>
      </w:r>
    </w:p>
    <w:p>
      <w:pPr>
        <w:pStyle w:val="42"/>
        <w:spacing w:line="600" w:lineRule="exact"/>
        <w:rPr>
          <w:rFonts w:cs="Times New Roman"/>
        </w:rPr>
      </w:pPr>
      <w:r>
        <w:rPr>
          <w:rFonts w:cs="Times New Roman"/>
        </w:rPr>
        <w:t>岛群协同模式适用于离大陆较远，但与其它多个小岛成群分布的无居民休闲旅游用岛，岛屿间一般距离不超过2千米，其旅游发展有一定难度。岛群协同模式应注重整体规划统筹利用，以主岛为核心集中建设，完善基础设施建设，为岛群内其他岛屿提供完善的配套服务。完善陆岛交通体系，强化主岛与大陆桥头堡的互动，加强岛群与大陆的联系。除主岛外的其他岛屿宜发展中高端旅游项目。发挥“旅游+”作用，带动岛群周边农林渔业和公共服务用岛协同发展。珠海、惠州、江门、阳江部分位于自然保护区内的无居民休闲旅游用岛应处理好海岛旅游与生态环境保护的关系。</w:t>
      </w:r>
    </w:p>
    <w:p>
      <w:pPr>
        <w:pStyle w:val="42"/>
        <w:spacing w:line="600" w:lineRule="exact"/>
        <w:rPr>
          <w:rFonts w:cs="Times New Roman"/>
        </w:rPr>
      </w:pPr>
      <w:r>
        <w:rPr>
          <w:rFonts w:cs="Times New Roman"/>
        </w:rPr>
        <w:t>以岛群协同模式推动10个岛群27个无居民休闲旅游用岛的旅游发展。重点发展5个岛群19个休闲旅游用岛。率先发展珠海大九洲岛群、汕尾龟龄岛岛群；在处理好与自然保护区关系的基础上，合理利用珠海庙湾岛岛群和惠州大辣甲岛群，积极探索阳江南鹏岛岛群的旅游发展。</w:t>
      </w:r>
    </w:p>
    <w:p>
      <w:pPr>
        <w:spacing w:line="600" w:lineRule="exact"/>
        <w:ind w:firstLine="562"/>
        <w:jc w:val="center"/>
      </w:pPr>
      <w:r>
        <w:rPr>
          <w:rStyle w:val="146"/>
          <w:rFonts w:ascii="Times New Roman" w:hAnsi="Times New Roman" w:cs="Times New Roman"/>
        </w:rPr>
        <w:t>表4-4岛群协同发展模式的海岛</w:t>
      </w:r>
    </w:p>
    <w:tbl>
      <w:tblPr>
        <w:tblStyle w:val="35"/>
        <w:tblW w:w="903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4"/>
        <w:gridCol w:w="1418"/>
        <w:gridCol w:w="69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城市</w:t>
            </w:r>
          </w:p>
        </w:tc>
        <w:tc>
          <w:tcPr>
            <w:tcW w:w="8324" w:type="dxa"/>
            <w:gridSpan w:val="2"/>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适用的海岛群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left"/>
              <w:rPr>
                <w:rFonts w:eastAsia="宋体"/>
                <w:b/>
                <w:bCs/>
                <w:kern w:val="0"/>
                <w:sz w:val="24"/>
              </w:rPr>
            </w:pPr>
          </w:p>
        </w:tc>
        <w:tc>
          <w:tcPr>
            <w:tcW w:w="1418" w:type="dxa"/>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主岛</w:t>
            </w:r>
          </w:p>
        </w:tc>
        <w:tc>
          <w:tcPr>
            <w:tcW w:w="6906" w:type="dxa"/>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其他小岛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kern w:val="0"/>
                <w:sz w:val="24"/>
              </w:rPr>
            </w:pPr>
            <w:r>
              <w:rPr>
                <w:rFonts w:eastAsia="宋体"/>
                <w:kern w:val="0"/>
                <w:sz w:val="24"/>
              </w:rPr>
              <w:t>汕尾</w:t>
            </w: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龟龄岛</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left"/>
              <w:rPr>
                <w:rFonts w:eastAsia="宋体"/>
                <w:kern w:val="0"/>
                <w:sz w:val="24"/>
              </w:rPr>
            </w:pP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海丰鸡心石</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鸡心石三岛、鸡心石五岛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kern w:val="0"/>
                <w:sz w:val="24"/>
              </w:rPr>
            </w:pPr>
            <w:r>
              <w:rPr>
                <w:rFonts w:eastAsia="宋体"/>
                <w:kern w:val="0"/>
                <w:sz w:val="24"/>
              </w:rPr>
              <w:t>珠海</w:t>
            </w: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大九洲</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九州头、鸡笼、龙眼洲、横当、茶壶盖岛、西大排、横山、海濑洲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left"/>
              <w:rPr>
                <w:rFonts w:eastAsia="宋体"/>
                <w:kern w:val="0"/>
                <w:sz w:val="24"/>
              </w:rPr>
            </w:pP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三角岛</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left"/>
              <w:rPr>
                <w:rFonts w:eastAsia="宋体"/>
                <w:kern w:val="0"/>
                <w:sz w:val="24"/>
              </w:rPr>
            </w:pP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大蜘洲</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城市</w:t>
            </w:r>
          </w:p>
        </w:tc>
        <w:tc>
          <w:tcPr>
            <w:tcW w:w="8324" w:type="dxa"/>
            <w:gridSpan w:val="2"/>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有条件适用的海岛群（位于自然保护区实验区）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left"/>
              <w:rPr>
                <w:rFonts w:eastAsia="宋体"/>
                <w:b/>
                <w:bCs/>
                <w:kern w:val="0"/>
                <w:sz w:val="24"/>
              </w:rPr>
            </w:pPr>
          </w:p>
        </w:tc>
        <w:tc>
          <w:tcPr>
            <w:tcW w:w="1418" w:type="dxa"/>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主岛</w:t>
            </w:r>
          </w:p>
        </w:tc>
        <w:tc>
          <w:tcPr>
            <w:tcW w:w="6906" w:type="dxa"/>
            <w:vAlign w:val="center"/>
          </w:tcPr>
          <w:p>
            <w:pPr>
              <w:adjustRightInd w:val="0"/>
              <w:snapToGrid w:val="0"/>
              <w:spacing w:line="240" w:lineRule="auto"/>
              <w:ind w:firstLine="0" w:firstLineChars="0"/>
              <w:jc w:val="center"/>
              <w:rPr>
                <w:rFonts w:eastAsia="宋体"/>
                <w:b/>
                <w:bCs/>
                <w:kern w:val="0"/>
                <w:sz w:val="24"/>
              </w:rPr>
            </w:pPr>
            <w:r>
              <w:rPr>
                <w:rFonts w:eastAsia="宋体"/>
                <w:b/>
                <w:bCs/>
                <w:kern w:val="0"/>
                <w:sz w:val="24"/>
              </w:rPr>
              <w:t>其他小岛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kern w:val="0"/>
                <w:sz w:val="24"/>
              </w:rPr>
            </w:pPr>
            <w:r>
              <w:rPr>
                <w:rFonts w:eastAsia="宋体"/>
                <w:kern w:val="0"/>
                <w:sz w:val="24"/>
              </w:rPr>
              <w:t>惠州</w:t>
            </w: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大辣甲</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惠阳横洲、牛头洲、白沙洲、小鹅洲、惠阳赤洲、鹅洲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center"/>
              <w:rPr>
                <w:rFonts w:eastAsia="宋体"/>
                <w:kern w:val="0"/>
                <w:sz w:val="24"/>
              </w:rPr>
            </w:pP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小横洲</w:t>
            </w:r>
          </w:p>
        </w:tc>
        <w:tc>
          <w:tcPr>
            <w:tcW w:w="6906" w:type="dxa"/>
            <w:vAlign w:val="center"/>
          </w:tcPr>
          <w:p>
            <w:pPr>
              <w:adjustRightInd w:val="0"/>
              <w:snapToGrid w:val="0"/>
              <w:spacing w:line="240" w:lineRule="auto"/>
              <w:ind w:firstLine="0" w:firstLineChars="0"/>
              <w:rPr>
                <w:rFonts w:eastAsia="宋体"/>
                <w:kern w:val="0"/>
                <w:sz w:val="24"/>
              </w:rPr>
            </w:pPr>
            <w:r>
              <w:rPr>
                <w:rFonts w:eastAsia="宋体"/>
                <w:kern w:val="0"/>
                <w:sz w:val="24"/>
              </w:rPr>
              <w:t>洪圣公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珠海</w:t>
            </w: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庙湾岛</w:t>
            </w:r>
          </w:p>
        </w:tc>
        <w:tc>
          <w:tcPr>
            <w:tcW w:w="6906" w:type="dxa"/>
            <w:vAlign w:val="center"/>
          </w:tcPr>
          <w:p>
            <w:pPr>
              <w:adjustRightInd w:val="0"/>
              <w:snapToGrid w:val="0"/>
              <w:spacing w:line="240" w:lineRule="auto"/>
              <w:ind w:firstLine="0" w:firstLineChars="0"/>
              <w:jc w:val="left"/>
              <w:rPr>
                <w:rFonts w:eastAsia="宋体"/>
                <w:kern w:val="0"/>
                <w:sz w:val="24"/>
              </w:rPr>
            </w:pPr>
            <w:r>
              <w:rPr>
                <w:rFonts w:eastAsia="宋体"/>
                <w:kern w:val="0"/>
                <w:sz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restart"/>
            <w:vAlign w:val="center"/>
          </w:tcPr>
          <w:p>
            <w:pPr>
              <w:adjustRightInd w:val="0"/>
              <w:snapToGrid w:val="0"/>
              <w:spacing w:line="240" w:lineRule="auto"/>
              <w:ind w:firstLine="0" w:firstLineChars="0"/>
              <w:jc w:val="center"/>
              <w:rPr>
                <w:rFonts w:eastAsia="宋体"/>
                <w:kern w:val="0"/>
                <w:sz w:val="24"/>
              </w:rPr>
            </w:pPr>
            <w:r>
              <w:rPr>
                <w:rFonts w:eastAsia="宋体"/>
                <w:kern w:val="0"/>
                <w:sz w:val="24"/>
              </w:rPr>
              <w:t>阳江</w:t>
            </w: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南鹏岛</w:t>
            </w:r>
          </w:p>
        </w:tc>
        <w:tc>
          <w:tcPr>
            <w:tcW w:w="6906" w:type="dxa"/>
            <w:vAlign w:val="center"/>
          </w:tcPr>
          <w:p>
            <w:pPr>
              <w:adjustRightInd w:val="0"/>
              <w:snapToGrid w:val="0"/>
              <w:spacing w:line="240" w:lineRule="auto"/>
              <w:ind w:firstLine="0" w:firstLineChars="0"/>
              <w:jc w:val="left"/>
              <w:rPr>
                <w:rFonts w:eastAsia="宋体"/>
                <w:kern w:val="0"/>
                <w:sz w:val="24"/>
              </w:rPr>
            </w:pPr>
            <w:r>
              <w:rPr>
                <w:rFonts w:eastAsia="宋体"/>
                <w:kern w:val="0"/>
                <w:sz w:val="24"/>
              </w:rPr>
              <w:t>周边具有较高旅游发展潜力的农林渔业用岛及公共服务用岛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24" w:hRule="atLeast"/>
        </w:trPr>
        <w:tc>
          <w:tcPr>
            <w:tcW w:w="714" w:type="dxa"/>
            <w:vMerge w:val="continue"/>
            <w:vAlign w:val="center"/>
          </w:tcPr>
          <w:p>
            <w:pPr>
              <w:adjustRightInd w:val="0"/>
              <w:snapToGrid w:val="0"/>
              <w:spacing w:line="240" w:lineRule="auto"/>
              <w:ind w:firstLine="0" w:firstLineChars="0"/>
              <w:jc w:val="center"/>
              <w:rPr>
                <w:rFonts w:eastAsia="宋体"/>
                <w:kern w:val="0"/>
                <w:sz w:val="24"/>
              </w:rPr>
            </w:pPr>
          </w:p>
        </w:tc>
        <w:tc>
          <w:tcPr>
            <w:tcW w:w="1418" w:type="dxa"/>
            <w:vAlign w:val="center"/>
          </w:tcPr>
          <w:p>
            <w:pPr>
              <w:adjustRightInd w:val="0"/>
              <w:snapToGrid w:val="0"/>
              <w:spacing w:line="240" w:lineRule="auto"/>
              <w:ind w:firstLine="0" w:firstLineChars="0"/>
              <w:jc w:val="center"/>
              <w:rPr>
                <w:rFonts w:eastAsia="宋体"/>
                <w:kern w:val="0"/>
                <w:sz w:val="24"/>
              </w:rPr>
            </w:pPr>
            <w:r>
              <w:rPr>
                <w:rFonts w:eastAsia="宋体"/>
                <w:kern w:val="0"/>
                <w:sz w:val="24"/>
              </w:rPr>
              <w:t>二镬岛</w:t>
            </w:r>
          </w:p>
        </w:tc>
        <w:tc>
          <w:tcPr>
            <w:tcW w:w="6906" w:type="dxa"/>
            <w:vAlign w:val="center"/>
          </w:tcPr>
          <w:p>
            <w:pPr>
              <w:adjustRightInd w:val="0"/>
              <w:snapToGrid w:val="0"/>
              <w:spacing w:line="240" w:lineRule="auto"/>
              <w:ind w:firstLine="0" w:firstLineChars="0"/>
              <w:jc w:val="left"/>
              <w:rPr>
                <w:rFonts w:eastAsia="宋体"/>
                <w:kern w:val="0"/>
                <w:sz w:val="24"/>
              </w:rPr>
            </w:pPr>
            <w:r>
              <w:rPr>
                <w:rFonts w:eastAsia="宋体"/>
                <w:kern w:val="0"/>
                <w:sz w:val="24"/>
              </w:rPr>
              <w:t>周边具有较高旅游发展潜力的农林渔业用岛及公共服务用岛</w:t>
            </w:r>
          </w:p>
        </w:tc>
      </w:tr>
    </w:tbl>
    <w:p>
      <w:pPr>
        <w:pStyle w:val="91"/>
        <w:widowControl w:val="0"/>
        <w:spacing w:line="600" w:lineRule="exact"/>
        <w:rPr>
          <w:rFonts w:ascii="Times New Roman" w:hAnsi="Times New Roman" w:cs="Times New Roman"/>
        </w:rPr>
      </w:pPr>
      <w:r>
        <w:rPr>
          <w:rFonts w:ascii="Times New Roman" w:hAnsi="Times New Roman" w:cs="Times New Roman"/>
        </w:rPr>
        <w:t>5.独岛领潮模式</w:t>
      </w:r>
    </w:p>
    <w:p>
      <w:pPr>
        <w:pStyle w:val="42"/>
        <w:spacing w:line="600" w:lineRule="exact"/>
        <w:rPr>
          <w:rFonts w:cs="Times New Roman"/>
        </w:rPr>
      </w:pPr>
      <w:r>
        <w:rPr>
          <w:rFonts w:cs="Times New Roman"/>
        </w:rPr>
        <w:t>独岛领潮模式适用于独立分布且离岸较远的无居民休闲旅游用岛，一般距离大陆及周边岛屿距离超过2千米。这类海岛距离陆地、大岛及其他小岛都较远，周边可依托资源较少，发展难度很大。独岛领潮模式应利用市场间隙，突出生态景观特色资源，打造特色主题项目，提升海岛的核心吸引力。岛上旅游项目应突出海陆特色差异，重点发展深海旅游项目、特色度假项目等，吸引高端客群。根据独岛自身特点有选择地完善基础设施，着力提升海岛与大陆交通联系的便利性。在海岛利用过程中应注意生态环境保护。</w:t>
      </w:r>
    </w:p>
    <w:p>
      <w:pPr>
        <w:pStyle w:val="42"/>
        <w:spacing w:line="600" w:lineRule="exact"/>
        <w:rPr>
          <w:rFonts w:cs="Times New Roman"/>
        </w:rPr>
      </w:pPr>
      <w:r>
        <w:rPr>
          <w:rFonts w:cs="Times New Roman"/>
        </w:rPr>
        <w:t>以独岛领潮模式推进7个无居民休闲旅游用岛发展。重点发展2个海岛。率先发展湛江罗斗沙，在处理好与自然保护区关系的基础上，积极探索茂名放鸡岛的旅游发展。</w:t>
      </w:r>
    </w:p>
    <w:p>
      <w:pPr>
        <w:ind w:firstLine="562"/>
        <w:jc w:val="center"/>
      </w:pPr>
      <w:r>
        <w:rPr>
          <w:rStyle w:val="146"/>
          <w:rFonts w:ascii="Times New Roman" w:hAnsi="Times New Roman" w:cs="Times New Roman"/>
        </w:rPr>
        <w:t>表4-5独岛领潮发展模式的海岛</w:t>
      </w:r>
    </w:p>
    <w:tbl>
      <w:tblPr>
        <w:tblStyle w:val="35"/>
        <w:tblW w:w="907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0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b/>
                <w:bCs/>
                <w:kern w:val="0"/>
                <w:sz w:val="24"/>
              </w:rPr>
            </w:pPr>
            <w:r>
              <w:rPr>
                <w:rFonts w:eastAsia="宋体"/>
                <w:b/>
                <w:bCs/>
                <w:kern w:val="0"/>
                <w:sz w:val="24"/>
              </w:rPr>
              <w:t>城市</w:t>
            </w:r>
          </w:p>
        </w:tc>
        <w:tc>
          <w:tcPr>
            <w:tcW w:w="8079" w:type="dxa"/>
            <w:vAlign w:val="center"/>
          </w:tcPr>
          <w:p>
            <w:pPr>
              <w:spacing w:line="360" w:lineRule="exact"/>
              <w:ind w:firstLine="0" w:firstLineChars="0"/>
              <w:jc w:val="center"/>
              <w:rPr>
                <w:rFonts w:eastAsia="宋体"/>
                <w:b/>
                <w:bCs/>
                <w:kern w:val="0"/>
                <w:sz w:val="24"/>
              </w:rPr>
            </w:pPr>
            <w:r>
              <w:rPr>
                <w:rFonts w:eastAsia="宋体"/>
                <w:b/>
                <w:bCs/>
                <w:kern w:val="0"/>
                <w:sz w:val="24"/>
              </w:rPr>
              <w:t>适用的海岛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惠州</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小星山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汕尾</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江牡岛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江门</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小风北岛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茂名</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放鸡仔岛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湛江</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罗斗沙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b/>
                <w:bCs/>
                <w:kern w:val="0"/>
                <w:sz w:val="24"/>
              </w:rPr>
            </w:pPr>
            <w:r>
              <w:rPr>
                <w:rFonts w:eastAsia="宋体"/>
                <w:b/>
                <w:bCs/>
                <w:kern w:val="0"/>
                <w:sz w:val="24"/>
              </w:rPr>
              <w:t>城市</w:t>
            </w:r>
          </w:p>
        </w:tc>
        <w:tc>
          <w:tcPr>
            <w:tcW w:w="8079" w:type="dxa"/>
            <w:vAlign w:val="center"/>
          </w:tcPr>
          <w:p>
            <w:pPr>
              <w:spacing w:line="360" w:lineRule="exact"/>
              <w:ind w:firstLine="0" w:firstLineChars="0"/>
              <w:jc w:val="center"/>
              <w:rPr>
                <w:rFonts w:eastAsia="宋体"/>
                <w:b/>
                <w:bCs/>
                <w:kern w:val="0"/>
                <w:sz w:val="24"/>
              </w:rPr>
            </w:pPr>
            <w:r>
              <w:rPr>
                <w:rFonts w:eastAsia="宋体"/>
                <w:b/>
                <w:bCs/>
                <w:kern w:val="0"/>
                <w:sz w:val="24"/>
              </w:rPr>
              <w:t>有条件适用的海岛（位于自然保护区实验区）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阳江</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大镬岛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93" w:type="dxa"/>
            <w:vAlign w:val="center"/>
          </w:tcPr>
          <w:p>
            <w:pPr>
              <w:spacing w:line="360" w:lineRule="exact"/>
              <w:ind w:firstLine="0" w:firstLineChars="0"/>
              <w:jc w:val="center"/>
              <w:rPr>
                <w:rFonts w:eastAsia="宋体"/>
                <w:kern w:val="0"/>
                <w:sz w:val="24"/>
              </w:rPr>
            </w:pPr>
            <w:r>
              <w:rPr>
                <w:rFonts w:eastAsia="宋体"/>
                <w:kern w:val="0"/>
                <w:sz w:val="24"/>
              </w:rPr>
              <w:t>茂名</w:t>
            </w:r>
          </w:p>
        </w:tc>
        <w:tc>
          <w:tcPr>
            <w:tcW w:w="8079" w:type="dxa"/>
            <w:vAlign w:val="center"/>
          </w:tcPr>
          <w:p>
            <w:pPr>
              <w:spacing w:line="360" w:lineRule="exact"/>
              <w:ind w:firstLine="0" w:firstLineChars="0"/>
              <w:jc w:val="center"/>
              <w:rPr>
                <w:rFonts w:eastAsia="宋体"/>
                <w:kern w:val="0"/>
                <w:sz w:val="24"/>
              </w:rPr>
            </w:pPr>
            <w:r>
              <w:rPr>
                <w:rFonts w:eastAsia="宋体"/>
                <w:kern w:val="0"/>
                <w:sz w:val="24"/>
              </w:rPr>
              <w:t>放鸡岛</w:t>
            </w:r>
          </w:p>
        </w:tc>
      </w:tr>
    </w:tbl>
    <w:p>
      <w:pPr>
        <w:pStyle w:val="91"/>
        <w:widowControl w:val="0"/>
        <w:rPr>
          <w:rFonts w:ascii="Times New Roman" w:hAnsi="Times New Roman" w:cs="Times New Roman"/>
        </w:rPr>
      </w:pPr>
      <w:r>
        <w:rPr>
          <w:rFonts w:ascii="Times New Roman" w:hAnsi="Times New Roman" w:cs="Times New Roman"/>
        </w:rPr>
        <w:t>6.群礁融合模式</w:t>
      </w:r>
    </w:p>
    <w:p>
      <w:pPr>
        <w:pStyle w:val="42"/>
        <w:spacing w:line="600" w:lineRule="exact"/>
        <w:rPr>
          <w:rFonts w:cs="Times New Roman"/>
        </w:rPr>
      </w:pPr>
      <w:r>
        <w:rPr>
          <w:rFonts w:cs="Times New Roman"/>
        </w:rPr>
        <w:t>群礁融合模式是将小型礁石集群进行整合发展。这些礁石彼此距离在2千米以内，单个礁石面积在500平方米以下，且地表无植被覆盖，主要由休闲旅游用岛、保留类海岛、农林渔业用岛和其他用途用岛等组成，排列为围合型或带状型。群礁融合模式注重依托周边岛屿协同发展，降低自身发展难度。礁群的基础设施建设应以为深海旅游创造条件为重点，是海洋浮岛科技创新应用的切入点，有利于打造深海旅游跳板。在条件允许的情况下，探索填海围陆或设置海上浮台，提升岛礁综合服务能力。礁群利用以海上运动、海上娱乐、潜水或海底观光等项目为主，重点发展爱国主义特色游览项目，将提升游客海疆意识作为重点。</w:t>
      </w:r>
    </w:p>
    <w:p>
      <w:pPr>
        <w:pStyle w:val="42"/>
        <w:spacing w:line="600" w:lineRule="exact"/>
        <w:rPr>
          <w:rFonts w:cs="Times New Roman"/>
        </w:rPr>
      </w:pPr>
      <w:r>
        <w:rPr>
          <w:rFonts w:cs="Times New Roman"/>
        </w:rPr>
        <w:t>以广东省海岛数量最多的汕尾市为试点，采用群礁融合模式探索5组海岛的旅游发展。</w:t>
      </w:r>
    </w:p>
    <w:p>
      <w:pPr>
        <w:ind w:firstLine="562"/>
        <w:jc w:val="center"/>
        <w:rPr>
          <w:rStyle w:val="146"/>
          <w:rFonts w:ascii="Times New Roman" w:hAnsi="Times New Roman" w:cs="Times New Roman"/>
        </w:rPr>
      </w:pPr>
      <w:r>
        <w:rPr>
          <w:rStyle w:val="146"/>
          <w:rFonts w:ascii="Times New Roman" w:hAnsi="Times New Roman" w:cs="Times New Roman"/>
        </w:rPr>
        <w:t>表4-6群礁融合发展模式的海岛（以汕尾市为试点）</w:t>
      </w:r>
    </w:p>
    <w:tbl>
      <w:tblPr>
        <w:tblStyle w:val="35"/>
        <w:tblW w:w="893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0"/>
        <w:gridCol w:w="80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tblHeader/>
          <w:jc w:val="center"/>
        </w:trPr>
        <w:tc>
          <w:tcPr>
            <w:tcW w:w="850" w:type="dxa"/>
            <w:tcMar>
              <w:left w:w="0" w:type="dxa"/>
              <w:right w:w="0" w:type="dxa"/>
            </w:tcMar>
            <w:vAlign w:val="center"/>
          </w:tcPr>
          <w:p>
            <w:pPr>
              <w:pStyle w:val="96"/>
              <w:spacing w:beforeLines="50" w:afterLines="50" w:line="360" w:lineRule="exact"/>
              <w:rPr>
                <w:rFonts w:ascii="Times New Roman" w:hAnsi="Times New Roman" w:cs="Times New Roman"/>
                <w:color w:val="auto"/>
              </w:rPr>
            </w:pPr>
            <w:r>
              <w:rPr>
                <w:rFonts w:ascii="Times New Roman" w:hAnsi="Times New Roman" w:cs="Times New Roman"/>
                <w:color w:val="auto"/>
              </w:rPr>
              <w:t>城市</w:t>
            </w:r>
          </w:p>
        </w:tc>
        <w:tc>
          <w:tcPr>
            <w:tcW w:w="8082" w:type="dxa"/>
            <w:tcMar>
              <w:left w:w="0" w:type="dxa"/>
              <w:right w:w="0" w:type="dxa"/>
            </w:tcMar>
            <w:vAlign w:val="center"/>
          </w:tcPr>
          <w:p>
            <w:pPr>
              <w:pStyle w:val="96"/>
              <w:spacing w:beforeLines="50" w:afterLines="50" w:line="360" w:lineRule="exact"/>
              <w:rPr>
                <w:rFonts w:ascii="Times New Roman" w:hAnsi="Times New Roman" w:cs="Times New Roman"/>
                <w:color w:val="auto"/>
              </w:rPr>
            </w:pPr>
            <w:r>
              <w:rPr>
                <w:rFonts w:ascii="Times New Roman" w:hAnsi="Times New Roman" w:cs="Times New Roman"/>
                <w:color w:val="auto"/>
              </w:rPr>
              <w:t>群礁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850" w:type="dxa"/>
            <w:vMerge w:val="restart"/>
            <w:tcMar>
              <w:left w:w="0" w:type="dxa"/>
              <w:right w:w="0" w:type="dxa"/>
            </w:tcMar>
            <w:vAlign w:val="center"/>
          </w:tcPr>
          <w:p>
            <w:pPr>
              <w:pStyle w:val="95"/>
              <w:spacing w:beforeLines="50" w:afterLines="50" w:line="360" w:lineRule="exact"/>
              <w:jc w:val="center"/>
              <w:rPr>
                <w:rFonts w:eastAsia="仿宋" w:cs="Times New Roman"/>
              </w:rPr>
            </w:pPr>
            <w:r>
              <w:rPr>
                <w:rFonts w:cs="Times New Roman"/>
              </w:rPr>
              <w:t>汕尾</w:t>
            </w:r>
          </w:p>
        </w:tc>
        <w:tc>
          <w:tcPr>
            <w:tcW w:w="8082" w:type="dxa"/>
            <w:tcMar>
              <w:left w:w="0" w:type="dxa"/>
              <w:right w:w="0" w:type="dxa"/>
            </w:tcMar>
            <w:vAlign w:val="center"/>
          </w:tcPr>
          <w:p>
            <w:pPr>
              <w:pStyle w:val="95"/>
              <w:spacing w:beforeLines="50" w:afterLines="50" w:line="360" w:lineRule="exact"/>
              <w:rPr>
                <w:rFonts w:cs="Times New Roman"/>
              </w:rPr>
            </w:pPr>
            <w:r>
              <w:rPr>
                <w:rFonts w:cs="Times New Roman"/>
              </w:rPr>
              <w:t>妈印仔、分石、汕尾叠石、坣仔屿、炉担、六耳、女仔石、圆石仔、小圆石、驼峰岛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850" w:type="dxa"/>
            <w:vMerge w:val="continue"/>
            <w:tcMar>
              <w:left w:w="0" w:type="dxa"/>
              <w:right w:w="0" w:type="dxa"/>
            </w:tcMar>
            <w:vAlign w:val="center"/>
          </w:tcPr>
          <w:p>
            <w:pPr>
              <w:pStyle w:val="95"/>
              <w:spacing w:beforeLines="50" w:afterLines="50" w:line="360" w:lineRule="exact"/>
              <w:jc w:val="center"/>
              <w:rPr>
                <w:rFonts w:eastAsia="仿宋" w:cs="Times New Roman"/>
              </w:rPr>
            </w:pPr>
          </w:p>
        </w:tc>
        <w:tc>
          <w:tcPr>
            <w:tcW w:w="8082" w:type="dxa"/>
            <w:tcMar>
              <w:left w:w="0" w:type="dxa"/>
              <w:right w:w="0" w:type="dxa"/>
            </w:tcMar>
            <w:vAlign w:val="center"/>
          </w:tcPr>
          <w:p>
            <w:pPr>
              <w:pStyle w:val="95"/>
              <w:spacing w:beforeLines="50" w:afterLines="50" w:line="360" w:lineRule="exact"/>
              <w:rPr>
                <w:rFonts w:cs="Times New Roman"/>
              </w:rPr>
            </w:pPr>
            <w:r>
              <w:rPr>
                <w:rFonts w:cs="Times New Roman"/>
              </w:rPr>
              <w:t>小双礁、鸟粪礁、小龟礁、旗杆夹礁、旗杆夹南岛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850" w:type="dxa"/>
            <w:vMerge w:val="continue"/>
            <w:tcMar>
              <w:left w:w="0" w:type="dxa"/>
              <w:right w:w="0" w:type="dxa"/>
            </w:tcMar>
            <w:vAlign w:val="center"/>
          </w:tcPr>
          <w:p>
            <w:pPr>
              <w:pStyle w:val="95"/>
              <w:spacing w:beforeLines="50" w:afterLines="50" w:line="360" w:lineRule="exact"/>
              <w:jc w:val="center"/>
              <w:rPr>
                <w:rFonts w:eastAsia="仿宋" w:cs="Times New Roman"/>
              </w:rPr>
            </w:pPr>
          </w:p>
        </w:tc>
        <w:tc>
          <w:tcPr>
            <w:tcW w:w="8082" w:type="dxa"/>
            <w:tcMar>
              <w:left w:w="0" w:type="dxa"/>
              <w:right w:w="0" w:type="dxa"/>
            </w:tcMar>
            <w:vAlign w:val="center"/>
          </w:tcPr>
          <w:p>
            <w:pPr>
              <w:pStyle w:val="95"/>
              <w:spacing w:beforeLines="50" w:afterLines="50" w:line="360" w:lineRule="exact"/>
              <w:rPr>
                <w:rFonts w:cs="Times New Roman"/>
              </w:rPr>
            </w:pPr>
            <w:r>
              <w:rPr>
                <w:rFonts w:cs="Times New Roman"/>
              </w:rPr>
              <w:t>裂礁、刺剑太礁、小白礁北岛、牵宫门礁、头礁、头礁外岛、头礁内岛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850" w:type="dxa"/>
            <w:vMerge w:val="continue"/>
            <w:tcMar>
              <w:left w:w="0" w:type="dxa"/>
              <w:right w:w="0" w:type="dxa"/>
            </w:tcMar>
            <w:vAlign w:val="center"/>
          </w:tcPr>
          <w:p>
            <w:pPr>
              <w:pStyle w:val="95"/>
              <w:spacing w:beforeLines="50" w:afterLines="50" w:line="360" w:lineRule="exact"/>
              <w:jc w:val="center"/>
              <w:rPr>
                <w:rFonts w:eastAsia="仿宋" w:cs="Times New Roman"/>
              </w:rPr>
            </w:pPr>
          </w:p>
        </w:tc>
        <w:tc>
          <w:tcPr>
            <w:tcW w:w="8082" w:type="dxa"/>
            <w:tcMar>
              <w:left w:w="0" w:type="dxa"/>
              <w:right w:w="0" w:type="dxa"/>
            </w:tcMar>
            <w:vAlign w:val="center"/>
          </w:tcPr>
          <w:p>
            <w:pPr>
              <w:pStyle w:val="95"/>
              <w:spacing w:beforeLines="50" w:afterLines="50" w:line="360" w:lineRule="exact"/>
              <w:rPr>
                <w:rFonts w:cs="Times New Roman"/>
              </w:rPr>
            </w:pPr>
            <w:r>
              <w:rPr>
                <w:rFonts w:cs="Times New Roman"/>
              </w:rPr>
              <w:t>鸟咀礁、花园礁、花园礁南岛、纺车篮、篮尾礁、公子帽、浪泡石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850" w:type="dxa"/>
            <w:vMerge w:val="continue"/>
            <w:tcMar>
              <w:left w:w="0" w:type="dxa"/>
              <w:right w:w="0" w:type="dxa"/>
            </w:tcMar>
            <w:vAlign w:val="center"/>
          </w:tcPr>
          <w:p>
            <w:pPr>
              <w:pStyle w:val="95"/>
              <w:spacing w:beforeLines="50" w:afterLines="50" w:line="360" w:lineRule="exact"/>
              <w:jc w:val="center"/>
              <w:rPr>
                <w:rFonts w:eastAsia="仿宋" w:cs="Times New Roman"/>
              </w:rPr>
            </w:pPr>
          </w:p>
        </w:tc>
        <w:tc>
          <w:tcPr>
            <w:tcW w:w="8082" w:type="dxa"/>
            <w:tcMar>
              <w:left w:w="0" w:type="dxa"/>
              <w:right w:w="0" w:type="dxa"/>
            </w:tcMar>
            <w:vAlign w:val="center"/>
          </w:tcPr>
          <w:p>
            <w:pPr>
              <w:pStyle w:val="95"/>
              <w:spacing w:beforeLines="50" w:afterLines="50" w:line="360" w:lineRule="exact"/>
              <w:rPr>
                <w:rFonts w:cs="Times New Roman"/>
              </w:rPr>
            </w:pPr>
            <w:r>
              <w:rPr>
                <w:rFonts w:cs="Times New Roman"/>
              </w:rPr>
              <w:t>双仁礁、六耳礁、雌礁北岛、雌礁、甲子屿南岛、甲子屿东岛、溪心、勺子礁</w:t>
            </w:r>
          </w:p>
        </w:tc>
      </w:tr>
    </w:tbl>
    <w:p>
      <w:pPr>
        <w:pStyle w:val="4"/>
        <w:numPr>
          <w:ilvl w:val="0"/>
          <w:numId w:val="0"/>
        </w:numPr>
        <w:tabs>
          <w:tab w:val="left" w:pos="993"/>
        </w:tabs>
        <w:ind w:left="6"/>
        <w:rPr>
          <w:rFonts w:ascii="Times New Roman" w:cs="Times New Roman"/>
        </w:rPr>
      </w:pPr>
      <w:bookmarkStart w:id="37" w:name="_Toc2965"/>
      <w:r>
        <w:rPr>
          <w:rFonts w:ascii="Times New Roman" w:cs="Times New Roman"/>
        </w:rPr>
        <w:t>（二）产品创新，突出特色优化供给</w:t>
      </w:r>
      <w:bookmarkEnd w:id="37"/>
    </w:p>
    <w:p>
      <w:pPr>
        <w:pStyle w:val="91"/>
        <w:widowControl w:val="0"/>
        <w:spacing w:line="600" w:lineRule="exact"/>
        <w:rPr>
          <w:rFonts w:ascii="Times New Roman" w:hAnsi="Times New Roman" w:cs="Times New Roman"/>
        </w:rPr>
      </w:pPr>
      <w:r>
        <w:rPr>
          <w:rFonts w:ascii="Times New Roman" w:hAnsi="Times New Roman" w:cs="Times New Roman"/>
        </w:rPr>
        <w:t>1.创新十大特色产品</w:t>
      </w:r>
    </w:p>
    <w:p>
      <w:pPr>
        <w:pStyle w:val="42"/>
        <w:spacing w:line="600" w:lineRule="exact"/>
        <w:rPr>
          <w:rFonts w:cs="Times New Roman"/>
          <w:szCs w:val="24"/>
        </w:rPr>
      </w:pPr>
      <w:r>
        <w:rPr>
          <w:rFonts w:cs="Times New Roman"/>
          <w:szCs w:val="24"/>
        </w:rPr>
        <w:t>全力推进海岛美食产品创新升级，重点促进水上运动、浪漫蜜月、休闲渔业、家庭亲子和海洋乐园五大产品普及推广，加快培育游艇旅游、海洋探奇、海岛研学和商务培训四类产品潜力市场。</w:t>
      </w:r>
    </w:p>
    <w:p>
      <w:pPr>
        <w:pStyle w:val="42"/>
        <w:spacing w:line="600" w:lineRule="exact"/>
        <w:ind w:firstLine="643"/>
        <w:rPr>
          <w:rFonts w:cs="Times New Roman"/>
          <w:szCs w:val="24"/>
        </w:rPr>
      </w:pPr>
      <w:r>
        <w:rPr>
          <w:rFonts w:cs="Times New Roman"/>
          <w:b/>
          <w:szCs w:val="24"/>
        </w:rPr>
        <w:t>海岛美食：</w:t>
      </w:r>
      <w:r>
        <w:rPr>
          <w:rFonts w:cs="Times New Roman"/>
          <w:szCs w:val="24"/>
        </w:rPr>
        <w:t>海鲜美食类是最受市场偏好的旅游产品，游客对于不同档次的海鲜美食产品均表现出较高的兴趣。充分发挥广东各地菜系和海鲜食材在全国的影响力，积极引入全球顶级美食产品，打造具有国际影响力的美食型海岛旅游目的地。突出特色发展，依托广东各地菜系和即捕即食的海鲜特色，以美食餐饮、美食体验、美食节庆等特色为核心，构建具有广东海岛特色的美食旅游产品。打造各具特色的美食型海岛，形成“一岛一特色”的美食旅游吸引力。构建海鲜美食主题线路，整合多个海岛的美食资源；发展“海鲜+”旅游产品系列，完善全档次供给体系，拓展海鲜美食与海岛观光、夜间休闲、渔业体验、时尚运动等业态的融合发展。重点发展海陵岛、南澳岛、上下川岛、放鸡岛、东海岛、大万山岛的海鲜美食节事产品，积极培育以达濠岛、横沥岛、担杆岛、龟龄岛、西澳岛与汛洲岛为代表的一系列海岛的美食体验活动。</w:t>
      </w:r>
    </w:p>
    <w:p>
      <w:pPr>
        <w:pStyle w:val="42"/>
        <w:spacing w:line="600" w:lineRule="exact"/>
        <w:ind w:firstLine="643"/>
        <w:rPr>
          <w:rFonts w:cs="Times New Roman"/>
          <w:szCs w:val="24"/>
        </w:rPr>
      </w:pPr>
      <w:r>
        <w:rPr>
          <w:rFonts w:cs="Times New Roman"/>
          <w:b/>
          <w:szCs w:val="24"/>
        </w:rPr>
        <w:t>水上运动：</w:t>
      </w:r>
      <w:r>
        <w:rPr>
          <w:rFonts w:cs="Times New Roman"/>
          <w:szCs w:val="24"/>
        </w:rPr>
        <w:t>水上运动已经成为海岛游客的重要活动内容，近1/3的受访者对各类水上运动项目表现出浓厚兴趣。针对市场需求，积极开展潜水、冲浪、帆船、滑水、海上拖伞、水上自行车、海上摩托、海上自驾艇等娱乐性强的海上运动项目。大力推进海上和海岛运动基础设施建设，完善专业培训、安全救护、保险服务等相关配套，构建引领国际前沿的海上海岛运动体验项目集群。重点发展珠海横琴岛、珠海淇澳岛、阳江海陵岛、茂名放鸡岛、珠海三门岛、汕头达濠岛、惠东三角洲、罗斗沙、外伶仃岛等海岛的时尚运动旅游产品以及桂山岛的帆船游艇业。</w:t>
      </w:r>
    </w:p>
    <w:p>
      <w:pPr>
        <w:pStyle w:val="42"/>
        <w:spacing w:line="600" w:lineRule="exact"/>
        <w:ind w:firstLine="643"/>
        <w:rPr>
          <w:rFonts w:cs="Times New Roman"/>
          <w:szCs w:val="24"/>
        </w:rPr>
      </w:pPr>
      <w:r>
        <w:rPr>
          <w:rFonts w:cs="Times New Roman"/>
          <w:b/>
          <w:szCs w:val="24"/>
        </w:rPr>
        <w:t>浪漫蜜月：</w:t>
      </w:r>
      <w:r>
        <w:rPr>
          <w:rFonts w:cs="Times New Roman"/>
          <w:szCs w:val="24"/>
        </w:rPr>
        <w:t>主打浪漫主题的海岛旅游具有较好的市场前景。调查显示三成以上的游客选择与恋人或配偶出游，浪漫氛围成为这部分人群的重要兴趣点。以“蜜月天堂、奢华浪漫、舒适温馨、情定甜蜜岛”等形象为特色，打造浪漫海岛婚庆特色产品。针对婚庆蜜月、情侣度假等市场需求，打造海岛婚礼、婚纱摄影、蜜月服务、浪漫体验等一条龙服务。针对高端群体，满足个性化定制服务，打造私密婚庆海岛、私享蜜月度假海岛等创新产品形式。重点发展庙湾岛、东澳岛、海陵岛、横琴岛、南澳岛、三门岛、王府洲、坪洲、大九洲岛群的浪漫蜜月旅游产品。</w:t>
      </w:r>
    </w:p>
    <w:p>
      <w:pPr>
        <w:pStyle w:val="42"/>
        <w:spacing w:line="600" w:lineRule="exact"/>
        <w:ind w:firstLine="643"/>
        <w:rPr>
          <w:rFonts w:cs="Times New Roman"/>
          <w:b/>
          <w:szCs w:val="24"/>
        </w:rPr>
      </w:pPr>
      <w:r>
        <w:rPr>
          <w:rFonts w:cs="Times New Roman"/>
          <w:b/>
          <w:szCs w:val="24"/>
        </w:rPr>
        <w:t>休闲渔业：</w:t>
      </w:r>
      <w:r>
        <w:rPr>
          <w:rFonts w:cs="Times New Roman"/>
          <w:szCs w:val="24"/>
        </w:rPr>
        <w:t>38%的游客对于特色渔村、渔家乐等休闲渔业类项目表现出较高兴趣。依托海岛渔业产业基础，积极开发休闲渔业产品，发展渔村、渔港、渔场等为代表的休闲产品，将海岛渔业特色、海岛生态环境与旅游休闲活动相融合，突出海岛海滨特色的渔村休闲旅游。重点发展珠海东澳岛、</w:t>
      </w:r>
      <w:r>
        <w:rPr>
          <w:rFonts w:hint="eastAsia" w:cs="Times New Roman"/>
          <w:szCs w:val="24"/>
          <w:lang w:eastAsia="zh-CN"/>
        </w:rPr>
        <w:t>江门</w:t>
      </w:r>
      <w:r>
        <w:rPr>
          <w:rFonts w:cs="Times New Roman"/>
          <w:szCs w:val="24"/>
        </w:rPr>
        <w:t>上下川岛、湛江东海岛等地的休闲渔业旅游产品。</w:t>
      </w:r>
    </w:p>
    <w:p>
      <w:pPr>
        <w:pStyle w:val="42"/>
        <w:spacing w:line="600" w:lineRule="exact"/>
        <w:ind w:firstLine="643"/>
        <w:rPr>
          <w:rFonts w:cs="Times New Roman"/>
          <w:szCs w:val="24"/>
        </w:rPr>
      </w:pPr>
      <w:r>
        <w:rPr>
          <w:rFonts w:cs="Times New Roman"/>
          <w:b/>
          <w:szCs w:val="24"/>
        </w:rPr>
        <w:t>家庭亲子：</w:t>
      </w:r>
      <w:r>
        <w:rPr>
          <w:rFonts w:cs="Times New Roman"/>
          <w:szCs w:val="24"/>
        </w:rPr>
        <w:t>家庭亲子已经成为海岛旅游的重要出游形式，28%的受访者首选“带小孩一起”的出游方式。以海岛为依托大力发展家庭游乐和亲子体验等项目，形成富有趣味性、体验型、益智性的产品形式；融入童话主题、梦幻主题、探索主题、友情主题等适宜儿童游乐的产品内容；结合儿童生理心理特点，创造亲子互动的旅游空间；完善儿童医疗、卫生、教育等配套建设；完善住宿、餐饮等设施的亲子服务功能。重点发展横琴岛、东澳岛、海陵岛等海岛的家庭亲子旅游产品。</w:t>
      </w:r>
    </w:p>
    <w:p>
      <w:pPr>
        <w:pStyle w:val="42"/>
        <w:spacing w:line="600" w:lineRule="exact"/>
        <w:ind w:firstLine="643"/>
        <w:rPr>
          <w:rFonts w:cs="Times New Roman"/>
          <w:szCs w:val="24"/>
        </w:rPr>
      </w:pPr>
      <w:r>
        <w:rPr>
          <w:rFonts w:cs="Times New Roman"/>
          <w:b/>
          <w:szCs w:val="24"/>
        </w:rPr>
        <w:t>海洋乐园：</w:t>
      </w:r>
      <w:r>
        <w:rPr>
          <w:rFonts w:cs="Times New Roman"/>
          <w:szCs w:val="24"/>
        </w:rPr>
        <w:t>游客对海洋乐园类项目表现出一定的兴趣度，其中珠海长隆海洋王国作为海洋乐园的代表，成为受访者最关注的海岛资源之一。建设海洋文化园，展示悠久的海洋历史文化、独具民俗风情的渔文化、宗教文化、节庆文化；建设海洋公园、海洋主题乐园等，形成集旅游、观光、科普、教育、研究为一体的综合性体验产品；建设狂欢娱乐项目，引入世界潮流前线、风尚元素，发展以现代娱乐、时尚体验、多彩节事为特色的海岛旅游项目。重点发展珠海横琴岛、珠海淇澳岛、阳江海陵岛等海岛的海洋乐园产品。</w:t>
      </w:r>
    </w:p>
    <w:p>
      <w:pPr>
        <w:pStyle w:val="42"/>
        <w:spacing w:line="600" w:lineRule="exact"/>
        <w:ind w:firstLine="643"/>
        <w:rPr>
          <w:rFonts w:cs="Times New Roman"/>
          <w:szCs w:val="24"/>
        </w:rPr>
      </w:pPr>
      <w:r>
        <w:rPr>
          <w:rFonts w:cs="Times New Roman"/>
          <w:b/>
          <w:szCs w:val="24"/>
        </w:rPr>
        <w:t>船艇旅游：</w:t>
      </w:r>
      <w:r>
        <w:rPr>
          <w:rFonts w:cs="Times New Roman"/>
          <w:szCs w:val="24"/>
        </w:rPr>
        <w:t>船艇旅游需求日趋旺盛，超过30%的受访者表示对邮轮游艇类项目感兴趣。针对新兴的船艇旅游市场需求，鼓励发展适合大众消费水平的中小型游艇项目。推动游艇码头泊位等基础设施建设，完善简化游艇审批手续，降低航行旅游、停泊、维护的总体成本；积极探索近陆海岛结合桥头堡建设发展邮轮旅游路线；大力推进粤港澳游艇自由行落地。重点发展广州南沙区域海岛、珠海平沙区域海岛、深圳大鹏湾区域海岛、湛江南三岛、珠海桂山岛的船艇旅游产品。</w:t>
      </w:r>
    </w:p>
    <w:p>
      <w:pPr>
        <w:pStyle w:val="42"/>
        <w:spacing w:line="600" w:lineRule="exact"/>
        <w:ind w:firstLine="643"/>
        <w:rPr>
          <w:rFonts w:cs="Times New Roman"/>
          <w:szCs w:val="24"/>
        </w:rPr>
      </w:pPr>
      <w:r>
        <w:rPr>
          <w:rFonts w:cs="Times New Roman"/>
          <w:b/>
          <w:szCs w:val="24"/>
        </w:rPr>
        <w:t>海洋探奇：</w:t>
      </w:r>
      <w:r>
        <w:rPr>
          <w:rFonts w:cs="Times New Roman"/>
          <w:szCs w:val="24"/>
        </w:rPr>
        <w:t>海洋探奇具有一定的市场潜力，海洋动物观光、水下观光等活动逐步成为游客海岛旅游的选择项目。选择生态安全、环境适宜的海域，开发以潜水观光、海洋探奇为特色的旅游产品，打造探奇主题海岛。依托海洋动物活动区域，开发海洋动物观赏产品，突出生态性、趣味性特色。重点发展珠海万山群岛、汕尾龟龄岛、茂名放鸡岛、东沙群岛等海岛及周边海域的海洋探奇旅游产品。</w:t>
      </w:r>
    </w:p>
    <w:p>
      <w:pPr>
        <w:pStyle w:val="42"/>
        <w:spacing w:line="600" w:lineRule="exact"/>
        <w:ind w:firstLine="643"/>
        <w:rPr>
          <w:rFonts w:cs="Times New Roman"/>
          <w:szCs w:val="24"/>
        </w:rPr>
      </w:pPr>
      <w:r>
        <w:rPr>
          <w:rFonts w:cs="Times New Roman"/>
          <w:b/>
          <w:szCs w:val="24"/>
        </w:rPr>
        <w:t>海岛研学：</w:t>
      </w:r>
      <w:r>
        <w:rPr>
          <w:rFonts w:cs="Times New Roman"/>
          <w:szCs w:val="24"/>
        </w:rPr>
        <w:t>近1/5的游客对地质、生物、生态等类型的研学产品感兴趣，其中海洋动物、礁石海岸等产品具有较高的人气。面向中小学、高校学生群体，发展以海岛专题教育、生态学习、学术研讨为目的的专业性研学旅游；积极创新海岛生态研学产品形式，完善研学旅游所需要的教学场地和配套设施，打造海岛特色的生态研学基地和研学旅游目的地。重点发展淇澳岛红树林、海陵岛红树林、横琴岛滨海湿地、大洲岛红树林湿地等生态研学旅游产品。</w:t>
      </w:r>
    </w:p>
    <w:p>
      <w:pPr>
        <w:pStyle w:val="42"/>
        <w:spacing w:line="600" w:lineRule="exact"/>
        <w:ind w:firstLine="643"/>
        <w:rPr>
          <w:rFonts w:eastAsia="宋体" w:cs="Times New Roman"/>
          <w:b/>
          <w:szCs w:val="28"/>
        </w:rPr>
      </w:pPr>
      <w:r>
        <w:rPr>
          <w:rFonts w:cs="Times New Roman"/>
          <w:b/>
          <w:szCs w:val="24"/>
        </w:rPr>
        <w:t>商务培训：</w:t>
      </w:r>
      <w:r>
        <w:rPr>
          <w:rFonts w:cs="Times New Roman"/>
          <w:szCs w:val="24"/>
        </w:rPr>
        <w:t>海岛商务培训尚处于起步阶段，并随着市场成熟呈现逐步增长趋势。依托海岛独特的环境，发展海岛商务培训旅游，平衡广东海岛的淡旺季旅游。面向企业年会和商务培训市场，突出海岛独特的地文和生态环境，发展以海岛企业年会和海岛团体培训为特色的旅游产品。完善海岛会议服务、住宿餐饮、海陆交通等一系列相关配套服务设施。重点发展东澳岛等临近珠三角经济发达城市的海岛。</w:t>
      </w:r>
    </w:p>
    <w:p>
      <w:pPr>
        <w:pStyle w:val="6"/>
        <w:numPr>
          <w:ilvl w:val="4"/>
          <w:numId w:val="0"/>
        </w:numPr>
        <w:spacing w:line="600" w:lineRule="exact"/>
        <w:rPr>
          <w:rFonts w:eastAsia="仿宋_GB2312"/>
          <w:b/>
        </w:rPr>
      </w:pPr>
      <w:r>
        <w:rPr>
          <w:rFonts w:eastAsia="仿宋_GB2312"/>
          <w:b/>
        </w:rPr>
        <w:t>2.升级四大基础产品</w:t>
      </w:r>
    </w:p>
    <w:p>
      <w:pPr>
        <w:pStyle w:val="42"/>
        <w:spacing w:line="600" w:lineRule="exact"/>
        <w:rPr>
          <w:rFonts w:cs="Times New Roman"/>
          <w:szCs w:val="24"/>
        </w:rPr>
      </w:pPr>
      <w:r>
        <w:rPr>
          <w:rFonts w:cs="Times New Roman"/>
          <w:szCs w:val="24"/>
        </w:rPr>
        <w:t>广东海岛旅游基础产品应以休闲度假为核心，结合旅游市场需求特征，突出海岛度假、休闲渔村、海岛温泉三大方向。同时加大自然观光、文化体验和生态科普等海岛旅游基础产品供给。</w:t>
      </w:r>
    </w:p>
    <w:p>
      <w:pPr>
        <w:pStyle w:val="42"/>
        <w:spacing w:line="600" w:lineRule="exact"/>
        <w:ind w:firstLine="643"/>
        <w:rPr>
          <w:rFonts w:cs="Times New Roman"/>
          <w:szCs w:val="24"/>
        </w:rPr>
      </w:pPr>
      <w:r>
        <w:rPr>
          <w:rFonts w:cs="Times New Roman"/>
          <w:b/>
          <w:szCs w:val="24"/>
        </w:rPr>
        <w:t>休闲度假：</w:t>
      </w:r>
      <w:r>
        <w:rPr>
          <w:rFonts w:cs="Times New Roman"/>
          <w:szCs w:val="24"/>
        </w:rPr>
        <w:t>休闲度假成为广东海岛游客的主要出游目的，其中以休闲游玩、度假、减压放松为目的游客占比约1/4，他们对住宿和餐饮比较关注。重点发展海岛度假、海岛温泉等休闲度假产品。大力发展海岛度假产品，以海岛特色住宿为核心，发展海岛奢华精品度假设施、海岛度假酒店、海岛民宿等不同层次的海岛住宿产品，依托3S资源，引入多元休闲方式，积极培育主题海水浴场、滨海度假区等项目，重点发展南澳岛、大九洲、上下川岛、南三岛的海岛度假产品。积极培育海岛温泉产品，利用海岛温泉资源，融合广东温泉沐浴文化和温泉养生理念，培育海岛温泉度假项目，重点开发南三岛、东海岛、硇洲岛、一墩、神灶岛等温泉旅游产品。</w:t>
      </w:r>
    </w:p>
    <w:p>
      <w:pPr>
        <w:pStyle w:val="42"/>
        <w:spacing w:line="600" w:lineRule="exact"/>
        <w:ind w:firstLine="643"/>
        <w:rPr>
          <w:rFonts w:cs="Times New Roman"/>
          <w:szCs w:val="24"/>
        </w:rPr>
      </w:pPr>
      <w:r>
        <w:rPr>
          <w:rFonts w:cs="Times New Roman"/>
          <w:b/>
          <w:szCs w:val="24"/>
        </w:rPr>
        <w:t>自然观光：</w:t>
      </w:r>
      <w:r>
        <w:rPr>
          <w:rFonts w:cs="Times New Roman"/>
          <w:szCs w:val="24"/>
        </w:rPr>
        <w:t>针对市场需求特点，重点发展海岛、岛岸、海湾、海洋和浪漫情怀五大自然观光产品。开发海岛观光产品，利用海岛石景、草坡地、山丘峡谷等资源，打造以地质观光为特色的地质公园岛，重点发展南澳岛、达濠岛、庙湾岛、上下川岛的海岛观光产品。开发岛岸观光产品，依托海蚀、海滩岩、基岩滩等，开展岛岸观光、摄影、户外徒步等活动，重点发展海山岛、南澳岛、特呈岛的岛岸观光产品。开发海湾观光产品，突出岸线、植被、沙滩、海水等特色资源，重点发展南澳岛深澳湾和竹栖肚湾、大辣甲南湾、庙湾岛下风湾、上川岛茶湾等海湾观光产品。开发海洋观光产品，突出海洋、岛屿、气候气象、暗滩等景观，重点发展硇洲岛、三角洲、放鸡岛的海洋观光产品。开发浪漫情怀特色观光产品，突出浪漫体验特色，开发海岛日出日落观景、夜间观星观月、海岛烟花秀、海岛露营、观赏潮汐、海洋自然奇观欣赏等旅游产品。</w:t>
      </w:r>
    </w:p>
    <w:p>
      <w:pPr>
        <w:pStyle w:val="42"/>
        <w:spacing w:line="600" w:lineRule="exact"/>
        <w:ind w:firstLine="643"/>
        <w:rPr>
          <w:rFonts w:cs="Times New Roman"/>
          <w:szCs w:val="24"/>
        </w:rPr>
      </w:pPr>
      <w:r>
        <w:rPr>
          <w:rFonts w:cs="Times New Roman"/>
          <w:b/>
          <w:szCs w:val="24"/>
        </w:rPr>
        <w:t>生态科普：</w:t>
      </w:r>
      <w:r>
        <w:rPr>
          <w:rFonts w:cs="Times New Roman"/>
          <w:szCs w:val="24"/>
        </w:rPr>
        <w:t>海岛生态科普产品与陆地生态类产品存在较大差异的，以湿地森林为代表的海岛生态资源具有一定的旅游吸引力。重点发展海上森林、海岛动物、海洋生态系统三类生态科普产品。发展海上森林科普产品，开发以海岛森林生态体验、生态教育为核心的科普旅游产品，完善观景平台、科普解说系统、游憩设施等基础建设，重点发展南澳岛、内伶仃岛、威远岛、海陵岛的海上森林科普旅游产品。发展海岛动物科普产品，重点突出猕猴、野马和各海岛鸟类资源，重点发展担</w:t>
      </w:r>
      <w:r>
        <w:rPr>
          <w:rFonts w:hint="eastAsia" w:cs="Times New Roman"/>
          <w:szCs w:val="24"/>
          <w:lang w:eastAsia="zh-CN"/>
        </w:rPr>
        <w:t>杆</w:t>
      </w:r>
      <w:r>
        <w:rPr>
          <w:rFonts w:cs="Times New Roman"/>
          <w:szCs w:val="24"/>
        </w:rPr>
        <w:t>列岛、内伶仃岛、上川岛、大杧岛、南澳岛、王府洲、西澳岛的海岛动物科普产品。发展海洋生态系统科普产品，突出红树林、珊瑚礁、海草床三大海洋生态系统特色，重点发展淇澳岛红树林、特呈岛红树林、横琴岛滨海湿地、海陵岛红树林等海洋生态系统科普研学产品，积极探索大亚湾石珊瑚、万山群岛珊瑚、徐闻珊瑚礁、庙湾岛珊瑚栖息地等水下生态科普观光产品。</w:t>
      </w:r>
    </w:p>
    <w:p>
      <w:pPr>
        <w:pStyle w:val="42"/>
        <w:spacing w:line="600" w:lineRule="exact"/>
        <w:ind w:firstLine="643"/>
        <w:rPr>
          <w:rFonts w:cs="Times New Roman"/>
        </w:rPr>
      </w:pPr>
      <w:r>
        <w:rPr>
          <w:rFonts w:cs="Times New Roman"/>
          <w:b/>
          <w:szCs w:val="24"/>
        </w:rPr>
        <w:t>文化体验：</w:t>
      </w:r>
      <w:r>
        <w:rPr>
          <w:rFonts w:cs="Times New Roman"/>
          <w:szCs w:val="24"/>
        </w:rPr>
        <w:t>广东海洋海岛文化产品，尤其是以丝路文化为代表的旅游项目具有良好的市场前景。近四成受访者对海岛的渔文化、民俗文化和历史文化感兴趣。重点发展历史文化、宗教文化、海洋文化、民俗文化和海贸文化五大文化体验产品。发展历史文化体验项目，突出历史访古、文化体验、爱国主义教育特色，重点发展南澳岛、猎屿、海山岛、淇澳岛、上川岛、横琴岛的历史文化体验产品。发展宗教文化体验产品，打造朝拜、宗教节事、祈福、宗教研学等产品，重点发展海山岛、南澳岛、龟龄岛、妈屿、大万山岛、外伶仃岛、上川岛的宗教文化体验产品。发展海洋文化体验产品，以海上丝绸之路文化资源为特色，同时结合休渔节、开渔节、放生节、海洋日等活动，突出海洋文化科普体验与观光旅游，重点发展海陵岛、南澳岛、威远岛、达濠岛的海洋文化体验产品。发展民俗文化体验产品，突出各地民俗文化活动以及妈祖文化节、冼夫人文化节等各类民间文化节庆活动特色，重点发展南三岛、放鸡岛、下川岛、海鸥岛、南澳岛的民俗文化体验产品。发展海贸文化体验产品，突出广东海贸文化，积极对接广交会、广博会、农交会和海洋博览会、渔业博览会等，重点发展南澳岛、海陵岛以及各地展览馆等海贸文化体验产品。</w:t>
      </w:r>
    </w:p>
    <w:tbl>
      <w:tblPr>
        <w:tblStyle w:val="35"/>
        <w:tblW w:w="9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atLeast"/>
        </w:trPr>
        <w:tc>
          <w:tcPr>
            <w:tcW w:w="9228" w:type="dxa"/>
            <w:gridSpan w:val="2"/>
            <w:vAlign w:val="center"/>
          </w:tcPr>
          <w:p>
            <w:pPr>
              <w:pStyle w:val="42"/>
              <w:spacing w:line="360" w:lineRule="exact"/>
              <w:ind w:firstLine="0" w:firstLineChars="0"/>
              <w:jc w:val="center"/>
              <w:rPr>
                <w:rFonts w:cs="Times New Roman"/>
                <w:b/>
                <w:sz w:val="28"/>
                <w:szCs w:val="28"/>
              </w:rPr>
            </w:pPr>
            <w:r>
              <w:rPr>
                <w:rFonts w:cs="Times New Roman"/>
                <w:b/>
                <w:sz w:val="28"/>
                <w:szCs w:val="28"/>
              </w:rPr>
              <w:t>专栏2 美丽海岛文化开发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427" w:type="dxa"/>
            <w:tcBorders>
              <w:bottom w:val="nil"/>
              <w:right w:val="nil"/>
            </w:tcBorders>
            <w:vAlign w:val="top"/>
          </w:tcPr>
          <w:p>
            <w:pPr>
              <w:pStyle w:val="42"/>
              <w:spacing w:beforeLines="50" w:beforeAutospacing="1" w:afterLines="50" w:afterAutospacing="1" w:line="360" w:lineRule="exact"/>
              <w:ind w:firstLine="0" w:firstLineChars="0"/>
              <w:jc w:val="center"/>
              <w:rPr>
                <w:rFonts w:cs="Times New Roman"/>
                <w:sz w:val="28"/>
                <w:szCs w:val="28"/>
              </w:rPr>
            </w:pPr>
            <w:r>
              <w:rPr>
                <w:rFonts w:cs="Times New Roman"/>
                <w:sz w:val="28"/>
                <w:szCs w:val="28"/>
              </w:rPr>
              <w:t>1</w:t>
            </w:r>
          </w:p>
        </w:tc>
        <w:tc>
          <w:tcPr>
            <w:tcW w:w="8801" w:type="dxa"/>
            <w:tcBorders>
              <w:left w:val="nil"/>
              <w:bottom w:val="nil"/>
            </w:tcBorders>
            <w:vAlign w:val="top"/>
          </w:tcPr>
          <w:p>
            <w:pPr>
              <w:pStyle w:val="42"/>
              <w:spacing w:beforeLines="50" w:beforeAutospacing="1" w:afterLines="50" w:afterAutospacing="1" w:line="360" w:lineRule="exact"/>
              <w:ind w:firstLine="0" w:firstLineChars="0"/>
              <w:jc w:val="left"/>
              <w:rPr>
                <w:rFonts w:cs="Times New Roman"/>
                <w:sz w:val="28"/>
                <w:szCs w:val="28"/>
              </w:rPr>
            </w:pPr>
            <w:r>
              <w:rPr>
                <w:rFonts w:cs="Times New Roman"/>
                <w:sz w:val="28"/>
                <w:szCs w:val="28"/>
              </w:rPr>
              <w:t>深入研究广府文化、海商文化、“海上丝绸之路”文化等与海岛的联系，发展海岛特色历史文化。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27" w:type="dxa"/>
            <w:tcBorders>
              <w:top w:val="nil"/>
              <w:bottom w:val="nil"/>
              <w:right w:val="nil"/>
            </w:tcBorders>
            <w:vAlign w:val="top"/>
          </w:tcPr>
          <w:p>
            <w:pPr>
              <w:pStyle w:val="42"/>
              <w:spacing w:beforeLines="50" w:beforeAutospacing="1" w:afterLines="50" w:afterAutospacing="1" w:line="360" w:lineRule="exact"/>
              <w:ind w:firstLine="0" w:firstLineChars="0"/>
              <w:jc w:val="center"/>
              <w:rPr>
                <w:rFonts w:cs="Times New Roman"/>
                <w:sz w:val="28"/>
                <w:szCs w:val="28"/>
              </w:rPr>
            </w:pPr>
            <w:r>
              <w:rPr>
                <w:rFonts w:cs="Times New Roman"/>
                <w:sz w:val="28"/>
                <w:szCs w:val="28"/>
              </w:rPr>
              <w:t>2</w:t>
            </w:r>
          </w:p>
        </w:tc>
        <w:tc>
          <w:tcPr>
            <w:tcW w:w="8801" w:type="dxa"/>
            <w:tcBorders>
              <w:top w:val="nil"/>
              <w:left w:val="nil"/>
              <w:bottom w:val="nil"/>
            </w:tcBorders>
            <w:vAlign w:val="top"/>
          </w:tcPr>
          <w:p>
            <w:pPr>
              <w:pStyle w:val="42"/>
              <w:spacing w:beforeLines="50" w:beforeAutospacing="1" w:afterLines="50" w:afterAutospacing="1" w:line="360" w:lineRule="exact"/>
              <w:ind w:firstLine="0" w:firstLineChars="0"/>
              <w:jc w:val="left"/>
              <w:rPr>
                <w:rFonts w:cs="Times New Roman"/>
                <w:sz w:val="28"/>
                <w:szCs w:val="28"/>
              </w:rPr>
            </w:pPr>
            <w:r>
              <w:rPr>
                <w:rFonts w:cs="Times New Roman"/>
                <w:sz w:val="28"/>
                <w:szCs w:val="28"/>
              </w:rPr>
              <w:t>挖掘具有地域特色的民间习俗与民间艺术，发展海岛特色民俗文化。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27" w:type="dxa"/>
            <w:tcBorders>
              <w:top w:val="nil"/>
              <w:bottom w:val="nil"/>
              <w:right w:val="nil"/>
            </w:tcBorders>
            <w:vAlign w:val="top"/>
          </w:tcPr>
          <w:p>
            <w:pPr>
              <w:pStyle w:val="42"/>
              <w:spacing w:beforeLines="50" w:beforeAutospacing="1" w:afterLines="50" w:afterAutospacing="1" w:line="360" w:lineRule="exact"/>
              <w:ind w:firstLine="0" w:firstLineChars="0"/>
              <w:jc w:val="center"/>
              <w:rPr>
                <w:rFonts w:cs="Times New Roman"/>
                <w:sz w:val="28"/>
                <w:szCs w:val="28"/>
              </w:rPr>
            </w:pPr>
            <w:r>
              <w:rPr>
                <w:rFonts w:cs="Times New Roman"/>
                <w:sz w:val="28"/>
                <w:szCs w:val="28"/>
              </w:rPr>
              <w:t>3</w:t>
            </w:r>
          </w:p>
        </w:tc>
        <w:tc>
          <w:tcPr>
            <w:tcW w:w="8801" w:type="dxa"/>
            <w:tcBorders>
              <w:top w:val="nil"/>
              <w:left w:val="nil"/>
              <w:bottom w:val="nil"/>
            </w:tcBorders>
            <w:vAlign w:val="top"/>
          </w:tcPr>
          <w:p>
            <w:pPr>
              <w:pStyle w:val="42"/>
              <w:spacing w:beforeLines="50" w:beforeAutospacing="1" w:afterLines="50" w:afterAutospacing="1" w:line="360" w:lineRule="exact"/>
              <w:ind w:firstLine="0" w:firstLineChars="0"/>
              <w:jc w:val="left"/>
              <w:rPr>
                <w:rFonts w:cs="Times New Roman"/>
                <w:sz w:val="28"/>
                <w:szCs w:val="28"/>
              </w:rPr>
            </w:pPr>
            <w:r>
              <w:rPr>
                <w:rFonts w:cs="Times New Roman"/>
                <w:sz w:val="28"/>
                <w:szCs w:val="28"/>
              </w:rPr>
              <w:t>以虎门炮台等丰富的海防历史遗迹为基础，发展海岛特色海权文化。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427" w:type="dxa"/>
            <w:tcBorders>
              <w:top w:val="nil"/>
              <w:bottom w:val="nil"/>
              <w:right w:val="nil"/>
            </w:tcBorders>
            <w:vAlign w:val="top"/>
          </w:tcPr>
          <w:p>
            <w:pPr>
              <w:pStyle w:val="42"/>
              <w:spacing w:beforeLines="50" w:beforeAutospacing="1" w:afterLines="50" w:afterAutospacing="1" w:line="360" w:lineRule="exact"/>
              <w:ind w:firstLine="0" w:firstLineChars="0"/>
              <w:jc w:val="center"/>
              <w:rPr>
                <w:rFonts w:cs="Times New Roman"/>
                <w:sz w:val="28"/>
                <w:szCs w:val="28"/>
              </w:rPr>
            </w:pPr>
            <w:r>
              <w:rPr>
                <w:rFonts w:cs="Times New Roman"/>
                <w:sz w:val="28"/>
                <w:szCs w:val="28"/>
              </w:rPr>
              <w:t>4</w:t>
            </w:r>
          </w:p>
        </w:tc>
        <w:tc>
          <w:tcPr>
            <w:tcW w:w="8801" w:type="dxa"/>
            <w:tcBorders>
              <w:top w:val="nil"/>
              <w:left w:val="nil"/>
              <w:bottom w:val="nil"/>
            </w:tcBorders>
            <w:vAlign w:val="top"/>
          </w:tcPr>
          <w:p>
            <w:pPr>
              <w:pStyle w:val="42"/>
              <w:spacing w:beforeLines="50" w:beforeAutospacing="1" w:afterLines="50" w:afterAutospacing="1" w:line="360" w:lineRule="exact"/>
              <w:ind w:firstLine="0" w:firstLineChars="0"/>
              <w:jc w:val="left"/>
              <w:rPr>
                <w:rFonts w:cs="Times New Roman"/>
                <w:sz w:val="28"/>
                <w:szCs w:val="28"/>
              </w:rPr>
            </w:pPr>
            <w:r>
              <w:rPr>
                <w:rFonts w:cs="Times New Roman"/>
                <w:sz w:val="28"/>
                <w:szCs w:val="28"/>
              </w:rPr>
              <w:t>依托海岛渔村渔港，发展以节事体验等为载体的海岛特色渔业文化。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8" w:hRule="atLeast"/>
        </w:trPr>
        <w:tc>
          <w:tcPr>
            <w:tcW w:w="427" w:type="dxa"/>
            <w:tcBorders>
              <w:top w:val="nil"/>
              <w:right w:val="nil"/>
            </w:tcBorders>
            <w:vAlign w:val="top"/>
          </w:tcPr>
          <w:p>
            <w:pPr>
              <w:pStyle w:val="42"/>
              <w:spacing w:beforeLines="50" w:beforeAutospacing="1" w:afterLines="50" w:afterAutospacing="1" w:line="360" w:lineRule="exact"/>
              <w:ind w:firstLine="0" w:firstLineChars="0"/>
              <w:jc w:val="center"/>
              <w:rPr>
                <w:rFonts w:cs="Times New Roman"/>
                <w:sz w:val="28"/>
                <w:szCs w:val="28"/>
              </w:rPr>
            </w:pPr>
            <w:r>
              <w:rPr>
                <w:rFonts w:cs="Times New Roman"/>
                <w:sz w:val="28"/>
                <w:szCs w:val="28"/>
              </w:rPr>
              <w:t>5</w:t>
            </w:r>
          </w:p>
        </w:tc>
        <w:tc>
          <w:tcPr>
            <w:tcW w:w="8801" w:type="dxa"/>
            <w:tcBorders>
              <w:top w:val="nil"/>
              <w:left w:val="nil"/>
            </w:tcBorders>
            <w:vAlign w:val="top"/>
          </w:tcPr>
          <w:p>
            <w:pPr>
              <w:pStyle w:val="42"/>
              <w:spacing w:beforeLines="50" w:beforeAutospacing="1" w:afterLines="50" w:afterAutospacing="1" w:line="360" w:lineRule="exact"/>
              <w:ind w:firstLine="0" w:firstLineChars="0"/>
              <w:jc w:val="left"/>
              <w:rPr>
                <w:rFonts w:cs="Times New Roman"/>
                <w:sz w:val="28"/>
                <w:szCs w:val="28"/>
              </w:rPr>
            </w:pPr>
            <w:r>
              <w:rPr>
                <w:rFonts w:cs="Times New Roman"/>
                <w:sz w:val="28"/>
                <w:szCs w:val="28"/>
              </w:rPr>
              <w:t>为海岛文化注入时代精神，发展以体育健康文化、海洋经济文化、创新创意文化等为代表的海岛特色新兴文化。</w:t>
            </w:r>
          </w:p>
        </w:tc>
      </w:tr>
    </w:tbl>
    <w:p>
      <w:pPr>
        <w:pStyle w:val="6"/>
        <w:numPr>
          <w:ilvl w:val="4"/>
          <w:numId w:val="0"/>
        </w:numPr>
        <w:spacing w:line="600" w:lineRule="exact"/>
        <w:rPr>
          <w:rFonts w:eastAsia="仿宋_GB2312"/>
          <w:b/>
        </w:rPr>
      </w:pPr>
      <w:r>
        <w:rPr>
          <w:rFonts w:eastAsia="仿宋_GB2312"/>
          <w:b/>
        </w:rPr>
        <w:t>3.拓展淡季旅游产品</w:t>
      </w:r>
    </w:p>
    <w:p>
      <w:pPr>
        <w:pStyle w:val="42"/>
        <w:spacing w:line="600" w:lineRule="exact"/>
        <w:rPr>
          <w:rFonts w:cs="Times New Roman"/>
          <w:szCs w:val="24"/>
        </w:rPr>
      </w:pPr>
      <w:r>
        <w:rPr>
          <w:rFonts w:cs="Times New Roman"/>
          <w:szCs w:val="24"/>
        </w:rPr>
        <w:t>破解海岛旅游淡旺季突出的难题，重点强化海岛美食、商务培训、自然观光和文化体验四类产品供给。通过丰富海岛美食类型、强化海岛美食特色、提高海岛美食体验性等形式，重点打造面向冬春两季的海岛美食节事活动。重点针对年末的企业会议、团体培训等市场，突出高性价比、私密环境等特点，打造海岛型商务培训产品，拉动海岛淡季旅游人气。加大淡季海岛观光营销推广，突出海岛3S观光、浪漫风景观光、私享海岛观光等产品，展现广东海岛冬春季节的独特风光。在传统旅游淡季，策划多元的文化性节事活动，包括海岛丝路文化研讨会、妈祖文化节、海洋日等，提升广东海岛淡季旅游吸引。</w:t>
      </w:r>
    </w:p>
    <w:p>
      <w:pPr>
        <w:pStyle w:val="4"/>
        <w:numPr>
          <w:ilvl w:val="0"/>
          <w:numId w:val="0"/>
        </w:numPr>
        <w:tabs>
          <w:tab w:val="left" w:pos="993"/>
        </w:tabs>
        <w:spacing w:line="600" w:lineRule="exact"/>
        <w:ind w:left="6"/>
        <w:rPr>
          <w:rFonts w:ascii="Times New Roman" w:cs="Times New Roman"/>
        </w:rPr>
      </w:pPr>
      <w:bookmarkStart w:id="38" w:name="_Toc30187"/>
      <w:r>
        <w:rPr>
          <w:rFonts w:ascii="Times New Roman" w:cs="Times New Roman"/>
        </w:rPr>
        <w:t>（三）政策创新，先行先试深化改革</w:t>
      </w:r>
      <w:bookmarkEnd w:id="38"/>
    </w:p>
    <w:p>
      <w:pPr>
        <w:pStyle w:val="91"/>
        <w:widowControl w:val="0"/>
        <w:spacing w:line="600" w:lineRule="exact"/>
        <w:rPr>
          <w:rFonts w:ascii="Times New Roman" w:hAnsi="Times New Roman" w:cs="Times New Roman"/>
        </w:rPr>
      </w:pPr>
      <w:r>
        <w:rPr>
          <w:rFonts w:ascii="Times New Roman" w:hAnsi="Times New Roman" w:cs="Times New Roman"/>
        </w:rPr>
        <w:t>1.健全海岛开发利用地方性法规，明确责权益关系</w:t>
      </w:r>
    </w:p>
    <w:p>
      <w:pPr>
        <w:pStyle w:val="100"/>
        <w:spacing w:line="600" w:lineRule="exact"/>
        <w:ind w:firstLine="640"/>
        <w:rPr>
          <w:b w:val="0"/>
        </w:rPr>
      </w:pPr>
      <w:r>
        <w:rPr>
          <w:b w:val="0"/>
        </w:rPr>
        <w:t>针对海岛旅游开发过程中尚未明确的关键性政策法规，积极探索先行先试，重点推进岛屿出让范围标的界定、用海用地使用权限界定、特殊用地处置、特区特殊政策、多规合一与审批流程简化等政策的研究和制定。为支持海岛旅游产业发展，各地可依据海岛旅游发展规划和本地区实际，在符合土地利用总体规划及满足土地利用现状用途的情况下，参照国有资产管理模式，探索以无居民海岛使用权与经营权相分离的PPP合作方式推进海岛公共基础设施开发建设；地方对海岛开发利用应依法依规加强监管，以保护为优先，优化功能最大化，防止开发过度。研究制定《广东省海岛保护管理条例》、《广东省无居民海岛使用权</w:t>
      </w:r>
      <w:r>
        <w:rPr>
          <w:rFonts w:hint="eastAsia"/>
          <w:b w:val="0"/>
          <w:lang w:eastAsia="zh-CN"/>
        </w:rPr>
        <w:t>市场化</w:t>
      </w:r>
      <w:r>
        <w:rPr>
          <w:b w:val="0"/>
        </w:rPr>
        <w:t>出让</w:t>
      </w:r>
      <w:r>
        <w:rPr>
          <w:rFonts w:hint="eastAsia"/>
          <w:b w:val="0"/>
          <w:lang w:eastAsia="zh-CN"/>
        </w:rPr>
        <w:t>试行</w:t>
      </w:r>
      <w:r>
        <w:rPr>
          <w:b w:val="0"/>
        </w:rPr>
        <w:t>办法》，明确无居民海岛开发利用的管理主体，出让方式与出让范围界定，利益相关者及相关综合条件，出让方案主体内容条件构成，出让海岛的各标的范畴，出让权属与权益范畴界定领域，竞买人、投标人的资格设定范畴，成本价、标底或底价、转让起拍价的界定及依据，海岛与周边海域及航道的使用关系与协调处置关系，海岛权属范畴与产权权属关系，投资的进入与退出机制等相关内容。</w:t>
      </w:r>
    </w:p>
    <w:p>
      <w:pPr>
        <w:pStyle w:val="91"/>
        <w:widowControl w:val="0"/>
        <w:spacing w:line="600" w:lineRule="exact"/>
        <w:rPr>
          <w:rFonts w:ascii="Times New Roman" w:hAnsi="Times New Roman" w:cs="Times New Roman"/>
        </w:rPr>
      </w:pPr>
      <w:r>
        <w:rPr>
          <w:rFonts w:ascii="Times New Roman" w:hAnsi="Times New Roman" w:cs="Times New Roman"/>
        </w:rPr>
        <w:t>2.构建海岛保护利用规则，建立海岛保护利用社会公约</w:t>
      </w:r>
    </w:p>
    <w:p>
      <w:pPr>
        <w:pStyle w:val="100"/>
        <w:spacing w:line="600" w:lineRule="exact"/>
        <w:ind w:firstLine="640"/>
        <w:rPr>
          <w:b w:val="0"/>
        </w:rPr>
      </w:pPr>
      <w:r>
        <w:rPr>
          <w:b w:val="0"/>
        </w:rPr>
        <w:t>探索制定《广东省无居民海岛保护利用公约》和《广东海岛旅游出行文明公约》，从全民共建与参与的角度出发，明确保护利用公约的主体涵盖范畴及内容，主要包括保护利用范围及专业用语、陆域与水域关系界定、海岛与航道关系、垃圾污水排放、海岛陆域资源与海洋资源权属、海岛周边岩礁权属、海底电缆和管道保护管理、勘察钻探与开凿隧道、国际法与公海、机构旗帜使用、救助的义务及其他义务、岛屿与岛屿之间协同发展等。</w:t>
      </w:r>
    </w:p>
    <w:p>
      <w:pPr>
        <w:pStyle w:val="6"/>
        <w:numPr>
          <w:ilvl w:val="4"/>
          <w:numId w:val="0"/>
        </w:numPr>
        <w:spacing w:line="600" w:lineRule="exact"/>
        <w:rPr>
          <w:rFonts w:eastAsia="仿宋_GB2312"/>
          <w:b/>
        </w:rPr>
      </w:pPr>
      <w:r>
        <w:rPr>
          <w:rFonts w:eastAsia="仿宋_GB2312"/>
          <w:b/>
        </w:rPr>
        <w:t>3.创新海岛开发利用管理机制，推动海岛旅游有序发展</w:t>
      </w:r>
    </w:p>
    <w:p>
      <w:pPr>
        <w:pStyle w:val="42"/>
        <w:spacing w:line="600" w:lineRule="exact"/>
        <w:rPr>
          <w:rFonts w:cs="Times New Roman"/>
        </w:rPr>
      </w:pPr>
      <w:r>
        <w:rPr>
          <w:rFonts w:cs="Times New Roman"/>
        </w:rPr>
        <w:t>完善海岛旅游开发管理体制，建立海岛保护与利用联席会议制度，成立评审委员会、仲裁委员会，明确机构的职能和职责，规范海岛开发与保护的管理流程。创新海岛开发绩效机制，通过“引导、帮扶、资助、监督、协调”形成整套有效流程机制，在项目前期给予启动引导，中期进行帮扶和资助，后期进行协调和监督管理，以反馈评估机制实施对海岛开发保护利用引导。</w:t>
      </w:r>
    </w:p>
    <w:p>
      <w:pPr>
        <w:pStyle w:val="6"/>
        <w:numPr>
          <w:ilvl w:val="4"/>
          <w:numId w:val="0"/>
        </w:numPr>
        <w:spacing w:line="600" w:lineRule="exact"/>
        <w:rPr>
          <w:rFonts w:eastAsia="仿宋_GB2312"/>
          <w:b/>
        </w:rPr>
      </w:pPr>
      <w:r>
        <w:rPr>
          <w:rFonts w:eastAsia="仿宋_GB2312"/>
          <w:b/>
        </w:rPr>
        <w:t>4.加强海岛开发利用激励机制，推动海岛旅游快速发展</w:t>
      </w:r>
    </w:p>
    <w:p>
      <w:pPr>
        <w:pStyle w:val="42"/>
        <w:spacing w:line="600" w:lineRule="exact"/>
        <w:rPr>
          <w:rFonts w:cs="Times New Roman"/>
        </w:rPr>
      </w:pPr>
      <w:r>
        <w:rPr>
          <w:rFonts w:cs="Times New Roman"/>
        </w:rPr>
        <w:t>加强探索海岛旅游开发激励机制，推动建立先行先试、示范推动、实验培育等激励机制；探索以国家先行先试岛或省级先行先试岛方式激励海岛开发，确定示范性海岛奖励机制，组织</w:t>
      </w:r>
      <w:bookmarkStart w:id="62" w:name="_GoBack"/>
      <w:bookmarkEnd w:id="62"/>
      <w:r>
        <w:rPr>
          <w:rFonts w:cs="Times New Roman"/>
        </w:rPr>
        <w:t>海岛评选活动，对开发良好的海岛进行奖励。创新海岛旅游开发激励方式，评奖激励探索采用蓝色旅游奖、生态文明奖、科技创新奖等形式，资助激励探索采用项目用地奖励、配套扶持、金融信贷、项目补贴、人才奖励等形式，并结合广东省旅游产业政策性基金等相关支撑，全面推动海岛旅游快速健康发展。</w:t>
      </w:r>
    </w:p>
    <w:p>
      <w:pPr>
        <w:pStyle w:val="6"/>
        <w:numPr>
          <w:ilvl w:val="4"/>
          <w:numId w:val="0"/>
        </w:numPr>
        <w:spacing w:line="600" w:lineRule="exact"/>
        <w:rPr>
          <w:rFonts w:eastAsia="仿宋_GB2312"/>
          <w:b/>
        </w:rPr>
      </w:pPr>
      <w:r>
        <w:rPr>
          <w:rFonts w:eastAsia="仿宋_GB2312"/>
          <w:b/>
        </w:rPr>
        <w:t>5.完善海岛开发利用保障机制，促进海岛可持续发展</w:t>
      </w:r>
    </w:p>
    <w:p>
      <w:pPr>
        <w:pStyle w:val="100"/>
        <w:spacing w:line="600" w:lineRule="exact"/>
        <w:ind w:firstLine="640"/>
        <w:rPr>
          <w:b w:val="0"/>
        </w:rPr>
      </w:pPr>
      <w:r>
        <w:rPr>
          <w:b w:val="0"/>
        </w:rPr>
        <w:t>探索研究“广东省无居民海岛旅游开发保护利用保障机制”，重点涵盖生态保护治理模式与路径，生态安全执法体制，明确生态保护范畴及领域，海岛生态补偿机制，岛屿开发执法程序，安全执法保障机制，海岛权益维护及宣传等。确认公众环境权，重视环境公益诉讼程序。完善海岛使用权流转制度。</w:t>
      </w:r>
    </w:p>
    <w:p>
      <w:pPr>
        <w:pStyle w:val="4"/>
        <w:numPr>
          <w:ilvl w:val="0"/>
          <w:numId w:val="0"/>
        </w:numPr>
        <w:spacing w:line="600" w:lineRule="exact"/>
        <w:ind w:left="6"/>
        <w:rPr>
          <w:rFonts w:ascii="Times New Roman" w:cs="Times New Roman"/>
        </w:rPr>
      </w:pPr>
      <w:bookmarkStart w:id="39" w:name="_Toc15577"/>
      <w:r>
        <w:rPr>
          <w:rFonts w:ascii="Times New Roman" w:cs="Times New Roman"/>
        </w:rPr>
        <w:t>（四）区域协调，海丝引领一市一品</w:t>
      </w:r>
      <w:bookmarkEnd w:id="39"/>
    </w:p>
    <w:p>
      <w:pPr>
        <w:pStyle w:val="91"/>
        <w:widowControl w:val="0"/>
        <w:spacing w:line="600" w:lineRule="exact"/>
        <w:rPr>
          <w:rFonts w:ascii="Times New Roman" w:hAnsi="Times New Roman" w:cs="Times New Roman"/>
          <w:lang w:val="zh-CN"/>
        </w:rPr>
      </w:pPr>
      <w:r>
        <w:rPr>
          <w:rFonts w:ascii="Times New Roman" w:hAnsi="Times New Roman" w:cs="Times New Roman"/>
          <w:lang w:val="zh-CN"/>
        </w:rPr>
        <w:t>1.海丝引领</w:t>
      </w:r>
    </w:p>
    <w:p>
      <w:pPr>
        <w:pStyle w:val="42"/>
        <w:spacing w:line="600" w:lineRule="exact"/>
        <w:rPr>
          <w:rFonts w:cs="Times New Roman"/>
        </w:rPr>
      </w:pPr>
      <w:r>
        <w:rPr>
          <w:rFonts w:cs="Times New Roman"/>
        </w:rPr>
        <w:t>借助海上丝路主题强化岛岸互动关系，联动沿海城市海上丝路旅游资源，共同打造海上丝路文化旅游带。以海上丝路文化为引领串联沿海城市海岛旅游，彰显南澳岛、上川岛、海陵岛等地海上丝路遗址的历史价值和旅游魅力。</w:t>
      </w:r>
    </w:p>
    <w:p>
      <w:pPr>
        <w:adjustRightInd w:val="0"/>
        <w:ind w:firstLine="0" w:firstLineChars="0"/>
        <w:jc w:val="center"/>
        <w:rPr>
          <w:rFonts w:eastAsia="宋体"/>
        </w:rPr>
      </w:pPr>
      <w:r>
        <w:rPr>
          <w:rStyle w:val="146"/>
          <w:rFonts w:ascii="Times New Roman" w:hAnsi="Times New Roman" w:cs="Times New Roman"/>
        </w:rPr>
        <w:t>表4-7广东沿海城市海上丝路文化旅游重点内容</w:t>
      </w:r>
    </w:p>
    <w:tbl>
      <w:tblPr>
        <w:tblStyle w:val="35"/>
        <w:tblW w:w="907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1"/>
        <w:gridCol w:w="2835"/>
        <w:gridCol w:w="53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blHeader/>
        </w:trPr>
        <w:tc>
          <w:tcPr>
            <w:tcW w:w="851" w:type="dxa"/>
            <w:vAlign w:val="top"/>
          </w:tcPr>
          <w:p>
            <w:pPr>
              <w:pStyle w:val="96"/>
              <w:spacing w:line="360" w:lineRule="exact"/>
              <w:rPr>
                <w:rFonts w:ascii="Times New Roman" w:hAnsi="Times New Roman" w:cs="Times New Roman"/>
                <w:color w:val="auto"/>
              </w:rPr>
            </w:pPr>
            <w:r>
              <w:rPr>
                <w:rFonts w:ascii="Times New Roman" w:hAnsi="Times New Roman" w:cs="Times New Roman"/>
                <w:color w:val="auto"/>
              </w:rPr>
              <w:t>城市</w:t>
            </w:r>
          </w:p>
        </w:tc>
        <w:tc>
          <w:tcPr>
            <w:tcW w:w="2835" w:type="dxa"/>
            <w:vAlign w:val="top"/>
          </w:tcPr>
          <w:p>
            <w:pPr>
              <w:pStyle w:val="96"/>
              <w:spacing w:line="360" w:lineRule="exact"/>
              <w:rPr>
                <w:rFonts w:ascii="Times New Roman" w:hAnsi="Times New Roman" w:cs="Times New Roman"/>
                <w:color w:val="auto"/>
              </w:rPr>
            </w:pPr>
            <w:r>
              <w:rPr>
                <w:rFonts w:ascii="Times New Roman" w:hAnsi="Times New Roman" w:cs="Times New Roman"/>
                <w:color w:val="auto"/>
              </w:rPr>
              <w:t>海岛打造内容</w:t>
            </w:r>
          </w:p>
        </w:tc>
        <w:tc>
          <w:tcPr>
            <w:tcW w:w="5386" w:type="dxa"/>
            <w:vAlign w:val="top"/>
          </w:tcPr>
          <w:p>
            <w:pPr>
              <w:pStyle w:val="96"/>
              <w:spacing w:line="360" w:lineRule="exact"/>
              <w:rPr>
                <w:rFonts w:ascii="Times New Roman" w:hAnsi="Times New Roman" w:cs="Times New Roman"/>
                <w:color w:val="auto"/>
              </w:rPr>
            </w:pPr>
            <w:r>
              <w:rPr>
                <w:rFonts w:ascii="Times New Roman" w:hAnsi="Times New Roman" w:cs="Times New Roman"/>
                <w:color w:val="auto"/>
              </w:rPr>
              <w:t>岛岸联动打造内容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广州</w:t>
            </w:r>
          </w:p>
        </w:tc>
        <w:tc>
          <w:tcPr>
            <w:tcW w:w="2835" w:type="dxa"/>
            <w:vAlign w:val="top"/>
          </w:tcPr>
          <w:p>
            <w:pPr>
              <w:pStyle w:val="49"/>
              <w:spacing w:line="360" w:lineRule="exact"/>
              <w:rPr>
                <w:rFonts w:cs="Times New Roman"/>
                <w:sz w:val="24"/>
                <w:szCs w:val="24"/>
              </w:rPr>
            </w:pPr>
          </w:p>
        </w:tc>
        <w:tc>
          <w:tcPr>
            <w:tcW w:w="5386" w:type="dxa"/>
            <w:vAlign w:val="bottom"/>
          </w:tcPr>
          <w:p>
            <w:pPr>
              <w:pStyle w:val="95"/>
              <w:spacing w:before="0" w:after="0" w:line="360" w:lineRule="exact"/>
              <w:rPr>
                <w:rFonts w:cs="Times New Roman"/>
                <w:szCs w:val="24"/>
              </w:rPr>
            </w:pPr>
            <w:r>
              <w:rPr>
                <w:rFonts w:cs="Times New Roman"/>
                <w:szCs w:val="24"/>
              </w:rPr>
              <w:t>南沙天后宫、宝墨园、莲花山、黄埔古港、南海神庙、圣心大教堂、怀圣寺、西汉南越王博物馆、镇海楼、光孝寺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深圳</w:t>
            </w:r>
          </w:p>
        </w:tc>
        <w:tc>
          <w:tcPr>
            <w:tcW w:w="2835" w:type="dxa"/>
            <w:vAlign w:val="top"/>
          </w:tcPr>
          <w:p>
            <w:pPr>
              <w:pStyle w:val="49"/>
              <w:spacing w:line="360" w:lineRule="exact"/>
              <w:rPr>
                <w:rFonts w:cs="Times New Roman"/>
                <w:sz w:val="24"/>
                <w:szCs w:val="24"/>
              </w:rPr>
            </w:pPr>
            <w:r>
              <w:rPr>
                <w:rFonts w:cs="Times New Roman"/>
                <w:sz w:val="24"/>
                <w:szCs w:val="24"/>
              </w:rPr>
              <w:t>伶仃岛</w:t>
            </w:r>
          </w:p>
        </w:tc>
        <w:tc>
          <w:tcPr>
            <w:tcW w:w="5386" w:type="dxa"/>
            <w:vAlign w:val="top"/>
          </w:tcPr>
          <w:p>
            <w:pPr>
              <w:pStyle w:val="95"/>
              <w:spacing w:before="0" w:after="0" w:line="360" w:lineRule="exact"/>
              <w:rPr>
                <w:rFonts w:cs="Times New Roman"/>
                <w:szCs w:val="24"/>
              </w:rPr>
            </w:pPr>
            <w:r>
              <w:rPr>
                <w:rFonts w:cs="Times New Roman"/>
                <w:szCs w:val="24"/>
              </w:rPr>
              <w:t>南头古城、大鹏所城、望野博物馆、文氏宗祠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珠海</w:t>
            </w:r>
          </w:p>
        </w:tc>
        <w:tc>
          <w:tcPr>
            <w:tcW w:w="2835" w:type="dxa"/>
            <w:vAlign w:val="top"/>
          </w:tcPr>
          <w:p>
            <w:pPr>
              <w:pStyle w:val="49"/>
              <w:spacing w:line="360" w:lineRule="exact"/>
              <w:rPr>
                <w:rFonts w:cs="Times New Roman"/>
                <w:sz w:val="24"/>
                <w:szCs w:val="24"/>
              </w:rPr>
            </w:pPr>
            <w:r>
              <w:rPr>
                <w:rFonts w:cs="Times New Roman"/>
                <w:sz w:val="24"/>
                <w:szCs w:val="24"/>
              </w:rPr>
              <w:t>高栏岛（飞沙奇景—古代海上丝路天然航标）</w:t>
            </w:r>
          </w:p>
        </w:tc>
        <w:tc>
          <w:tcPr>
            <w:tcW w:w="5386" w:type="dxa"/>
            <w:vAlign w:val="top"/>
          </w:tcPr>
          <w:p>
            <w:pPr>
              <w:pStyle w:val="95"/>
              <w:spacing w:before="0" w:after="0" w:line="360" w:lineRule="exact"/>
              <w:rPr>
                <w:rFonts w:cs="Times New Roman"/>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汕头</w:t>
            </w:r>
          </w:p>
        </w:tc>
        <w:tc>
          <w:tcPr>
            <w:tcW w:w="2835" w:type="dxa"/>
            <w:vAlign w:val="top"/>
          </w:tcPr>
          <w:p>
            <w:pPr>
              <w:pStyle w:val="49"/>
              <w:spacing w:line="360" w:lineRule="exact"/>
              <w:rPr>
                <w:rFonts w:cs="Times New Roman"/>
                <w:sz w:val="24"/>
                <w:szCs w:val="24"/>
              </w:rPr>
            </w:pPr>
            <w:r>
              <w:rPr>
                <w:rFonts w:cs="Times New Roman"/>
                <w:sz w:val="24"/>
                <w:szCs w:val="24"/>
              </w:rPr>
              <w:t>南澳岛（南澳一号、南澳古城、大谭摩崖石刻、康氏宗祠、太子楼遗址、郑芝龙坊）</w:t>
            </w:r>
          </w:p>
        </w:tc>
        <w:tc>
          <w:tcPr>
            <w:tcW w:w="5386" w:type="dxa"/>
            <w:vAlign w:val="top"/>
          </w:tcPr>
          <w:p>
            <w:pPr>
              <w:pStyle w:val="95"/>
              <w:spacing w:before="0" w:after="0" w:line="360" w:lineRule="exact"/>
              <w:rPr>
                <w:rFonts w:cs="Times New Roman"/>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惠州</w:t>
            </w:r>
          </w:p>
        </w:tc>
        <w:tc>
          <w:tcPr>
            <w:tcW w:w="2835" w:type="dxa"/>
            <w:vAlign w:val="top"/>
          </w:tcPr>
          <w:p>
            <w:pPr>
              <w:pStyle w:val="49"/>
              <w:spacing w:line="360" w:lineRule="exact"/>
              <w:rPr>
                <w:rFonts w:cs="Times New Roman"/>
                <w:sz w:val="24"/>
                <w:szCs w:val="24"/>
              </w:rPr>
            </w:pPr>
          </w:p>
        </w:tc>
        <w:tc>
          <w:tcPr>
            <w:tcW w:w="5386" w:type="dxa"/>
            <w:vAlign w:val="top"/>
          </w:tcPr>
          <w:p>
            <w:pPr>
              <w:pStyle w:val="95"/>
              <w:spacing w:before="0" w:after="0" w:line="360" w:lineRule="exact"/>
              <w:rPr>
                <w:rFonts w:cs="Times New Roman"/>
                <w:szCs w:val="24"/>
              </w:rPr>
            </w:pPr>
            <w:r>
              <w:rPr>
                <w:rFonts w:cs="Times New Roman"/>
                <w:szCs w:val="24"/>
              </w:rPr>
              <w:t>惠州东平窑、惠州白马窑、平海古城海禁所、稔山范和古村落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汕尾</w:t>
            </w:r>
          </w:p>
        </w:tc>
        <w:tc>
          <w:tcPr>
            <w:tcW w:w="2835" w:type="dxa"/>
            <w:vAlign w:val="top"/>
          </w:tcPr>
          <w:p>
            <w:pPr>
              <w:pStyle w:val="49"/>
              <w:spacing w:line="360" w:lineRule="exact"/>
              <w:rPr>
                <w:rFonts w:cs="Times New Roman"/>
                <w:sz w:val="24"/>
                <w:szCs w:val="24"/>
              </w:rPr>
            </w:pPr>
            <w:r>
              <w:rPr>
                <w:rFonts w:cs="Times New Roman"/>
                <w:sz w:val="24"/>
                <w:szCs w:val="24"/>
              </w:rPr>
              <w:t>龟龄岛古城墙</w:t>
            </w:r>
          </w:p>
        </w:tc>
        <w:tc>
          <w:tcPr>
            <w:tcW w:w="5386" w:type="dxa"/>
            <w:vAlign w:val="top"/>
          </w:tcPr>
          <w:p>
            <w:pPr>
              <w:pStyle w:val="95"/>
              <w:spacing w:before="0" w:after="0" w:line="360" w:lineRule="exact"/>
              <w:rPr>
                <w:rFonts w:cs="Times New Roman"/>
                <w:szCs w:val="24"/>
              </w:rPr>
            </w:pPr>
            <w:r>
              <w:rPr>
                <w:rFonts w:cs="Times New Roman"/>
                <w:szCs w:val="24"/>
              </w:rPr>
              <w:t>坎下城、凤山妈祖庙、三马路安美妈祖庙、关爷宫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东莞</w:t>
            </w:r>
          </w:p>
        </w:tc>
        <w:tc>
          <w:tcPr>
            <w:tcW w:w="2835" w:type="dxa"/>
            <w:vAlign w:val="top"/>
          </w:tcPr>
          <w:p>
            <w:pPr>
              <w:pStyle w:val="49"/>
              <w:spacing w:line="360" w:lineRule="exact"/>
              <w:rPr>
                <w:rFonts w:cs="Times New Roman"/>
                <w:sz w:val="24"/>
                <w:szCs w:val="24"/>
              </w:rPr>
            </w:pPr>
          </w:p>
        </w:tc>
        <w:tc>
          <w:tcPr>
            <w:tcW w:w="5386" w:type="dxa"/>
            <w:vAlign w:val="top"/>
          </w:tcPr>
          <w:p>
            <w:pPr>
              <w:pStyle w:val="95"/>
              <w:spacing w:before="0" w:after="0" w:line="360" w:lineRule="exact"/>
              <w:rPr>
                <w:rFonts w:cs="Times New Roman"/>
                <w:szCs w:val="24"/>
              </w:rPr>
            </w:pPr>
            <w:r>
              <w:rPr>
                <w:rFonts w:cs="Times New Roman"/>
                <w:szCs w:val="24"/>
              </w:rPr>
              <w:t>鸦片战争博物馆（含林则徐销烟池旧址、虎门炮台旧址、海战博物馆）、寮步中国沉香博物馆、却金碑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中山</w:t>
            </w:r>
          </w:p>
        </w:tc>
        <w:tc>
          <w:tcPr>
            <w:tcW w:w="2835" w:type="dxa"/>
            <w:vAlign w:val="top"/>
          </w:tcPr>
          <w:p>
            <w:pPr>
              <w:pStyle w:val="49"/>
              <w:spacing w:line="360" w:lineRule="exact"/>
              <w:rPr>
                <w:rFonts w:cs="Times New Roman"/>
                <w:sz w:val="24"/>
                <w:szCs w:val="24"/>
              </w:rPr>
            </w:pPr>
          </w:p>
        </w:tc>
        <w:tc>
          <w:tcPr>
            <w:tcW w:w="5386" w:type="dxa"/>
            <w:vAlign w:val="top"/>
          </w:tcPr>
          <w:p>
            <w:pPr>
              <w:pStyle w:val="95"/>
              <w:spacing w:before="0" w:after="0" w:line="360" w:lineRule="exact"/>
              <w:rPr>
                <w:rFonts w:cs="Times New Roman"/>
                <w:szCs w:val="24"/>
              </w:rPr>
            </w:pPr>
            <w:r>
              <w:rPr>
                <w:rFonts w:cs="Times New Roman"/>
                <w:szCs w:val="24"/>
              </w:rPr>
              <w:t>石岐烟墩山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江门</w:t>
            </w:r>
          </w:p>
        </w:tc>
        <w:tc>
          <w:tcPr>
            <w:tcW w:w="2835" w:type="dxa"/>
            <w:vAlign w:val="top"/>
          </w:tcPr>
          <w:p>
            <w:pPr>
              <w:pStyle w:val="49"/>
              <w:spacing w:line="360" w:lineRule="exact"/>
              <w:rPr>
                <w:rFonts w:cs="Times New Roman"/>
                <w:sz w:val="24"/>
                <w:szCs w:val="24"/>
              </w:rPr>
            </w:pPr>
            <w:r>
              <w:rPr>
                <w:rFonts w:cs="Times New Roman"/>
                <w:sz w:val="24"/>
                <w:szCs w:val="24"/>
              </w:rPr>
              <w:t>上川岛（上川大洲湾遗址、上川新地村天主教堂、花碗坪遗址、圣方济各墓等）</w:t>
            </w:r>
          </w:p>
        </w:tc>
        <w:tc>
          <w:tcPr>
            <w:tcW w:w="5386" w:type="dxa"/>
            <w:vAlign w:val="top"/>
          </w:tcPr>
          <w:p>
            <w:pPr>
              <w:pStyle w:val="95"/>
              <w:spacing w:before="0" w:after="0" w:line="360" w:lineRule="exact"/>
              <w:rPr>
                <w:rFonts w:cs="Times New Roman"/>
                <w:szCs w:val="24"/>
              </w:rPr>
            </w:pPr>
            <w:r>
              <w:rPr>
                <w:rFonts w:cs="Times New Roman"/>
                <w:szCs w:val="24"/>
              </w:rPr>
              <w:t>新会官冲窑址、台山广海卫古城墙遗址、广海紫花岗摩崖石刻、广海烽火台、开平碉楼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阳江</w:t>
            </w:r>
          </w:p>
        </w:tc>
        <w:tc>
          <w:tcPr>
            <w:tcW w:w="2835" w:type="dxa"/>
            <w:vAlign w:val="top"/>
          </w:tcPr>
          <w:p>
            <w:pPr>
              <w:pStyle w:val="49"/>
              <w:spacing w:line="360" w:lineRule="exact"/>
              <w:rPr>
                <w:rFonts w:cs="Times New Roman"/>
                <w:sz w:val="24"/>
                <w:szCs w:val="24"/>
              </w:rPr>
            </w:pPr>
            <w:r>
              <w:rPr>
                <w:rFonts w:cs="Times New Roman"/>
                <w:sz w:val="24"/>
                <w:szCs w:val="24"/>
              </w:rPr>
              <w:t>海陵岛（南海一号、海上丝绸之路博物馆）</w:t>
            </w:r>
          </w:p>
        </w:tc>
        <w:tc>
          <w:tcPr>
            <w:tcW w:w="5386" w:type="dxa"/>
            <w:vAlign w:val="top"/>
          </w:tcPr>
          <w:p>
            <w:pPr>
              <w:pStyle w:val="95"/>
              <w:spacing w:before="0" w:after="0" w:line="360" w:lineRule="exact"/>
              <w:rPr>
                <w:rFonts w:cs="Times New Roman"/>
                <w:szCs w:val="24"/>
              </w:rPr>
            </w:pPr>
            <w:r>
              <w:rPr>
                <w:rFonts w:cs="Times New Roman"/>
                <w:szCs w:val="24"/>
              </w:rPr>
              <w:t>大澳渔村（大澳商会会馆、银库、门楼和街道、万人坟古墓）、东平渔港、闸坡渔港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湛江</w:t>
            </w:r>
          </w:p>
        </w:tc>
        <w:tc>
          <w:tcPr>
            <w:tcW w:w="2835" w:type="dxa"/>
            <w:vAlign w:val="top"/>
          </w:tcPr>
          <w:p>
            <w:pPr>
              <w:pStyle w:val="49"/>
              <w:spacing w:line="360" w:lineRule="exact"/>
              <w:rPr>
                <w:rFonts w:cs="Times New Roman"/>
                <w:sz w:val="24"/>
                <w:szCs w:val="24"/>
              </w:rPr>
            </w:pPr>
            <w:r>
              <w:rPr>
                <w:rFonts w:cs="Times New Roman"/>
                <w:sz w:val="24"/>
                <w:szCs w:val="24"/>
              </w:rPr>
              <w:t>三墩岛三墩港</w:t>
            </w:r>
          </w:p>
        </w:tc>
        <w:tc>
          <w:tcPr>
            <w:tcW w:w="5386" w:type="dxa"/>
            <w:vAlign w:val="top"/>
          </w:tcPr>
          <w:p>
            <w:pPr>
              <w:pStyle w:val="95"/>
              <w:spacing w:before="0" w:after="0" w:line="360" w:lineRule="exact"/>
              <w:rPr>
                <w:rFonts w:cs="Times New Roman"/>
                <w:szCs w:val="24"/>
              </w:rPr>
            </w:pPr>
            <w:r>
              <w:rPr>
                <w:rFonts w:cs="Times New Roman"/>
                <w:szCs w:val="24"/>
              </w:rPr>
              <w:t>徐闻二桥遗址及周边汉墓群、宋元时期雷州窑外销瓷窑址、大汉三墩景区、雷州古城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茂名</w:t>
            </w:r>
          </w:p>
        </w:tc>
        <w:tc>
          <w:tcPr>
            <w:tcW w:w="2835" w:type="dxa"/>
            <w:vAlign w:val="top"/>
          </w:tcPr>
          <w:p>
            <w:pPr>
              <w:pStyle w:val="49"/>
              <w:spacing w:line="360" w:lineRule="exact"/>
              <w:rPr>
                <w:rFonts w:cs="Times New Roman"/>
                <w:sz w:val="24"/>
                <w:szCs w:val="24"/>
              </w:rPr>
            </w:pPr>
            <w:r>
              <w:rPr>
                <w:rFonts w:cs="Times New Roman"/>
                <w:sz w:val="24"/>
                <w:szCs w:val="24"/>
              </w:rPr>
              <w:t>放鸡岛</w:t>
            </w:r>
          </w:p>
        </w:tc>
        <w:tc>
          <w:tcPr>
            <w:tcW w:w="5386" w:type="dxa"/>
            <w:vAlign w:val="top"/>
          </w:tcPr>
          <w:p>
            <w:pPr>
              <w:pStyle w:val="95"/>
              <w:spacing w:before="0" w:after="0" w:line="360" w:lineRule="exact"/>
              <w:rPr>
                <w:rFonts w:cs="Times New Roman"/>
                <w:szCs w:val="24"/>
              </w:rPr>
            </w:pPr>
            <w:r>
              <w:rPr>
                <w:rFonts w:cs="Times New Roman"/>
                <w:szCs w:val="24"/>
              </w:rPr>
              <w:t>电城镇冼夫人墓遗址、娘娘庙、博贺千年古渔港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潮州</w:t>
            </w:r>
          </w:p>
        </w:tc>
        <w:tc>
          <w:tcPr>
            <w:tcW w:w="2835" w:type="dxa"/>
            <w:vAlign w:val="top"/>
          </w:tcPr>
          <w:p>
            <w:pPr>
              <w:pStyle w:val="49"/>
              <w:spacing w:line="360" w:lineRule="exact"/>
              <w:rPr>
                <w:rFonts w:cs="Times New Roman"/>
                <w:sz w:val="24"/>
                <w:szCs w:val="24"/>
              </w:rPr>
            </w:pPr>
            <w:r>
              <w:rPr>
                <w:rFonts w:cs="Times New Roman"/>
                <w:sz w:val="24"/>
                <w:szCs w:val="24"/>
              </w:rPr>
              <w:t>柘林湾古港口</w:t>
            </w:r>
          </w:p>
        </w:tc>
        <w:tc>
          <w:tcPr>
            <w:tcW w:w="5386" w:type="dxa"/>
            <w:vAlign w:val="top"/>
          </w:tcPr>
          <w:p>
            <w:pPr>
              <w:pStyle w:val="95"/>
              <w:spacing w:before="0" w:after="0" w:line="360" w:lineRule="exact"/>
              <w:rPr>
                <w:rFonts w:cs="Times New Roman"/>
                <w:szCs w:val="24"/>
              </w:rPr>
            </w:pPr>
            <w:r>
              <w:rPr>
                <w:rFonts w:cs="Times New Roman"/>
                <w:szCs w:val="24"/>
              </w:rPr>
              <w:t>笔架山宋窑遗址、九村窑、广济桥、潮州港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36" w:hRule="atLeast"/>
        </w:trPr>
        <w:tc>
          <w:tcPr>
            <w:tcW w:w="851" w:type="dxa"/>
            <w:vAlign w:val="center"/>
          </w:tcPr>
          <w:p>
            <w:pPr>
              <w:pStyle w:val="95"/>
              <w:spacing w:before="0" w:after="0" w:line="360" w:lineRule="exact"/>
              <w:jc w:val="center"/>
              <w:rPr>
                <w:rFonts w:cs="Times New Roman"/>
                <w:szCs w:val="24"/>
              </w:rPr>
            </w:pPr>
            <w:r>
              <w:rPr>
                <w:rFonts w:cs="Times New Roman"/>
                <w:szCs w:val="24"/>
              </w:rPr>
              <w:t>揭阳</w:t>
            </w:r>
          </w:p>
        </w:tc>
        <w:tc>
          <w:tcPr>
            <w:tcW w:w="2835" w:type="dxa"/>
            <w:vAlign w:val="top"/>
          </w:tcPr>
          <w:p>
            <w:pPr>
              <w:pStyle w:val="49"/>
              <w:spacing w:line="360" w:lineRule="exact"/>
              <w:rPr>
                <w:rFonts w:cs="Times New Roman"/>
                <w:sz w:val="24"/>
                <w:szCs w:val="24"/>
              </w:rPr>
            </w:pPr>
          </w:p>
        </w:tc>
        <w:tc>
          <w:tcPr>
            <w:tcW w:w="5386" w:type="dxa"/>
            <w:vAlign w:val="top"/>
          </w:tcPr>
          <w:p>
            <w:pPr>
              <w:pStyle w:val="95"/>
              <w:spacing w:before="0" w:after="0" w:line="360" w:lineRule="exact"/>
              <w:rPr>
                <w:rFonts w:cs="Times New Roman"/>
                <w:szCs w:val="24"/>
              </w:rPr>
            </w:pPr>
            <w:r>
              <w:rPr>
                <w:rFonts w:cs="Times New Roman"/>
                <w:szCs w:val="24"/>
              </w:rPr>
              <w:t>神泉港、地都港、榕城港、靖海古镇、石碑山古灯塔</w:t>
            </w:r>
          </w:p>
        </w:tc>
      </w:tr>
    </w:tbl>
    <w:p>
      <w:pPr>
        <w:pStyle w:val="91"/>
        <w:widowControl w:val="0"/>
        <w:spacing w:line="600" w:lineRule="exact"/>
        <w:rPr>
          <w:rFonts w:ascii="Times New Roman" w:hAnsi="Times New Roman" w:cs="Times New Roman"/>
          <w:lang w:val="zh-CN"/>
        </w:rPr>
      </w:pPr>
      <w:r>
        <w:rPr>
          <w:rFonts w:ascii="Times New Roman" w:hAnsi="Times New Roman" w:cs="Times New Roman"/>
        </w:rPr>
        <w:t>2.一市一品</w:t>
      </w:r>
    </w:p>
    <w:p>
      <w:pPr>
        <w:pStyle w:val="42"/>
        <w:spacing w:line="600" w:lineRule="exact"/>
        <w:rPr>
          <w:rFonts w:cs="Times New Roman"/>
          <w:b/>
          <w:lang w:val="zh-CN"/>
        </w:rPr>
      </w:pPr>
      <w:r>
        <w:rPr>
          <w:rFonts w:cs="Times New Roman"/>
        </w:rPr>
        <w:t>按不同城市区域、不同环境因素与不同文化内涵构建“一市一品”海岛旅游主题。</w:t>
      </w:r>
    </w:p>
    <w:p>
      <w:pPr>
        <w:pStyle w:val="42"/>
        <w:spacing w:line="600" w:lineRule="exact"/>
        <w:rPr>
          <w:rFonts w:cs="Times New Roman"/>
          <w:lang w:val="zh-CN"/>
        </w:rPr>
      </w:pPr>
      <w:r>
        <w:rPr>
          <w:rFonts w:cs="Times New Roman"/>
          <w:lang w:val="zh-CN"/>
        </w:rPr>
        <w:t>广州：以海岛生态文明为主题，发展海鸥岛生态休闲旅游。</w:t>
      </w:r>
    </w:p>
    <w:p>
      <w:pPr>
        <w:pStyle w:val="42"/>
        <w:spacing w:line="600" w:lineRule="exact"/>
        <w:rPr>
          <w:rFonts w:cs="Times New Roman"/>
          <w:lang w:val="zh-CN"/>
        </w:rPr>
      </w:pPr>
      <w:r>
        <w:rPr>
          <w:rFonts w:cs="Times New Roman"/>
          <w:lang w:val="zh-CN"/>
        </w:rPr>
        <w:t>深圳：以浪漫情怀婚庆主题，打造赖氏洲度假休闲城市名片。</w:t>
      </w:r>
    </w:p>
    <w:p>
      <w:pPr>
        <w:pStyle w:val="42"/>
        <w:spacing w:line="600" w:lineRule="exact"/>
        <w:rPr>
          <w:rFonts w:cs="Times New Roman"/>
          <w:lang w:val="zh-CN"/>
        </w:rPr>
      </w:pPr>
      <w:r>
        <w:rPr>
          <w:rFonts w:cs="Times New Roman"/>
          <w:lang w:val="zh-CN"/>
        </w:rPr>
        <w:t>珠海：以国际高端时尚为主题，打造横琴、万山为粤港澳高端旅游桥头堡。</w:t>
      </w:r>
    </w:p>
    <w:p>
      <w:pPr>
        <w:pStyle w:val="42"/>
        <w:spacing w:line="600" w:lineRule="exact"/>
        <w:rPr>
          <w:rFonts w:cs="Times New Roman"/>
          <w:lang w:val="zh-CN"/>
        </w:rPr>
      </w:pPr>
      <w:r>
        <w:rPr>
          <w:rFonts w:cs="Times New Roman"/>
          <w:lang w:val="zh-CN"/>
        </w:rPr>
        <w:t>汕头：以海洋贸易文化为主题，打造南澳岛明代古船城市名片。</w:t>
      </w:r>
    </w:p>
    <w:p>
      <w:pPr>
        <w:pStyle w:val="42"/>
        <w:spacing w:line="600" w:lineRule="exact"/>
        <w:rPr>
          <w:rFonts w:cs="Times New Roman"/>
          <w:lang w:val="zh-CN"/>
        </w:rPr>
      </w:pPr>
      <w:r>
        <w:rPr>
          <w:rFonts w:cs="Times New Roman"/>
          <w:lang w:val="zh-CN"/>
        </w:rPr>
        <w:t>惠州：以海洋渔业文化为主题，打造大辣甲生态型岛群。</w:t>
      </w:r>
    </w:p>
    <w:p>
      <w:pPr>
        <w:pStyle w:val="42"/>
        <w:spacing w:line="600" w:lineRule="exact"/>
        <w:rPr>
          <w:rFonts w:cs="Times New Roman"/>
          <w:lang w:val="zh-CN"/>
        </w:rPr>
      </w:pPr>
      <w:r>
        <w:rPr>
          <w:rFonts w:cs="Times New Roman"/>
          <w:lang w:val="zh-CN"/>
        </w:rPr>
        <w:t>汕尾：以海洋娱乐文化为主题，打造龟龄高端度假岛群。</w:t>
      </w:r>
    </w:p>
    <w:p>
      <w:pPr>
        <w:pStyle w:val="42"/>
        <w:spacing w:line="600" w:lineRule="exact"/>
        <w:rPr>
          <w:rFonts w:cs="Times New Roman"/>
          <w:lang w:val="zh-CN"/>
        </w:rPr>
      </w:pPr>
      <w:r>
        <w:rPr>
          <w:rFonts w:cs="Times New Roman"/>
          <w:lang w:val="zh-CN"/>
        </w:rPr>
        <w:t>东莞：以海权文化及对外开放的海洋精神为主题，打造威远岛爱国教育主义基地。</w:t>
      </w:r>
    </w:p>
    <w:p>
      <w:pPr>
        <w:pStyle w:val="42"/>
        <w:spacing w:line="600" w:lineRule="exact"/>
        <w:rPr>
          <w:rFonts w:cs="Times New Roman"/>
          <w:lang w:val="zh-CN"/>
        </w:rPr>
      </w:pPr>
      <w:r>
        <w:rPr>
          <w:rFonts w:cs="Times New Roman"/>
          <w:lang w:val="zh-CN"/>
        </w:rPr>
        <w:t>中山：以海洋科技新城为主题，打造翠亨新区综合休闲绿岛。</w:t>
      </w:r>
    </w:p>
    <w:p>
      <w:pPr>
        <w:pStyle w:val="42"/>
        <w:spacing w:line="600" w:lineRule="exact"/>
        <w:rPr>
          <w:rFonts w:cs="Times New Roman"/>
          <w:lang w:val="zh-CN"/>
        </w:rPr>
      </w:pPr>
      <w:r>
        <w:rPr>
          <w:rFonts w:cs="Times New Roman"/>
          <w:lang w:val="zh-CN"/>
        </w:rPr>
        <w:t>江门：以21世纪海丝文化为主题，打造上下川岛旅游名片。</w:t>
      </w:r>
    </w:p>
    <w:p>
      <w:pPr>
        <w:pStyle w:val="42"/>
        <w:spacing w:line="600" w:lineRule="exact"/>
        <w:rPr>
          <w:rFonts w:cs="Times New Roman"/>
          <w:lang w:val="zh-CN"/>
        </w:rPr>
      </w:pPr>
      <w:r>
        <w:rPr>
          <w:rFonts w:cs="Times New Roman"/>
          <w:lang w:val="zh-CN"/>
        </w:rPr>
        <w:t>阳江：以古海丝文化为主题，打造海陵岛南海</w:t>
      </w:r>
      <w:r>
        <w:rPr>
          <w:rFonts w:ascii="宋体" w:eastAsia="宋体" w:cs="Times New Roman"/>
          <w:lang w:val="zh-CN"/>
        </w:rPr>
        <w:t>Ⅰ</w:t>
      </w:r>
      <w:r>
        <w:rPr>
          <w:rFonts w:cs="Times New Roman"/>
          <w:lang w:val="zh-CN"/>
        </w:rPr>
        <w:t>号旅游品牌。</w:t>
      </w:r>
    </w:p>
    <w:p>
      <w:pPr>
        <w:spacing w:line="600" w:lineRule="exact"/>
        <w:ind w:firstLine="640"/>
        <w:rPr>
          <w:lang w:val="zh-CN"/>
        </w:rPr>
      </w:pPr>
      <w:r>
        <w:rPr>
          <w:lang w:val="zh-CN"/>
        </w:rPr>
        <w:t>湛江：以生态休闲度假为主题，打造湛江五岛综合休闲品牌。</w:t>
      </w:r>
    </w:p>
    <w:p>
      <w:pPr>
        <w:spacing w:line="600" w:lineRule="exact"/>
        <w:ind w:firstLine="640"/>
        <w:rPr>
          <w:lang w:val="zh-CN"/>
        </w:rPr>
      </w:pPr>
      <w:r>
        <w:rPr>
          <w:lang w:val="zh-CN"/>
        </w:rPr>
        <w:t>茂名：以神秘海上仙境为主题，打造放鸡岛休闲度假旅游岛。</w:t>
      </w:r>
    </w:p>
    <w:p>
      <w:pPr>
        <w:spacing w:line="600" w:lineRule="exact"/>
        <w:ind w:firstLine="640"/>
        <w:rPr>
          <w:lang w:val="zh-CN"/>
        </w:rPr>
      </w:pPr>
      <w:r>
        <w:rPr>
          <w:lang w:val="zh-CN"/>
        </w:rPr>
        <w:t>潮州：以野生鸟类科普为主题，打造西澳-汛洲双岛生态鸟岛。</w:t>
      </w:r>
    </w:p>
    <w:p>
      <w:pPr>
        <w:spacing w:line="600" w:lineRule="exact"/>
        <w:ind w:firstLine="640"/>
        <w:rPr>
          <w:lang w:val="zh-CN"/>
        </w:rPr>
      </w:pPr>
      <w:r>
        <w:rPr>
          <w:lang w:val="zh-CN"/>
        </w:rPr>
        <w:t>揭阳：以蓝色国土为主题，打造石碑山角</w:t>
      </w:r>
      <w:r>
        <w:t>爱国主义教育基地</w:t>
      </w:r>
      <w:r>
        <w:rPr>
          <w:lang w:val="zh-CN"/>
        </w:rPr>
        <w:t>。</w:t>
      </w:r>
    </w:p>
    <w:p>
      <w:pPr>
        <w:pStyle w:val="91"/>
        <w:widowControl w:val="0"/>
        <w:spacing w:line="600" w:lineRule="exact"/>
        <w:rPr>
          <w:rFonts w:ascii="Times New Roman" w:hAnsi="Times New Roman" w:cs="Times New Roman"/>
        </w:rPr>
      </w:pPr>
      <w:r>
        <w:rPr>
          <w:rFonts w:ascii="Times New Roman" w:hAnsi="Times New Roman" w:cs="Times New Roman"/>
        </w:rPr>
        <w:t>3.地市重点海岛发展指引</w:t>
      </w:r>
    </w:p>
    <w:p>
      <w:pPr>
        <w:pStyle w:val="42"/>
        <w:spacing w:line="600" w:lineRule="exact"/>
        <w:rPr>
          <w:rFonts w:cs="Times New Roman"/>
        </w:rPr>
      </w:pPr>
      <w:r>
        <w:rPr>
          <w:rFonts w:cs="Times New Roman"/>
        </w:rPr>
        <w:t>广州重点发展海鸥岛、上横挡岛和下横挡岛。海鸥岛应突出生态资源优势，以岛上生态绿洲及自然河流为基础发展生态休闲、乡村休闲、生态体验、科普教育、休闲度假等活动。上横挡岛和下横挡岛应结合区位优势发展自然观光、生态科普、文化体验、生态研学等活动。</w:t>
      </w:r>
    </w:p>
    <w:p>
      <w:pPr>
        <w:pStyle w:val="42"/>
        <w:spacing w:line="600" w:lineRule="exact"/>
        <w:rPr>
          <w:rFonts w:cs="Times New Roman"/>
        </w:rPr>
      </w:pPr>
      <w:r>
        <w:rPr>
          <w:rFonts w:cs="Times New Roman"/>
        </w:rPr>
        <w:t>深圳重点发展赖氏洲、洲仔岛。赖氏洲可重点开展生态休闲度假活动，如露营、徒步、潜水等对生态环境低影响的旅游活动，同时须严格保护生态环境，降低不可降解材料的使用，将旅游活动的影响降到最小化。洲仔岛可适当开展海上运动及中高端度假休闲活动，与毗邻的大梅沙滨海公园形成差异化发展，为游客提供多样化游览服务。</w:t>
      </w:r>
    </w:p>
    <w:p>
      <w:pPr>
        <w:pStyle w:val="42"/>
        <w:spacing w:line="600" w:lineRule="exact"/>
        <w:rPr>
          <w:rFonts w:cs="Times New Roman"/>
        </w:rPr>
      </w:pPr>
      <w:r>
        <w:rPr>
          <w:rFonts w:cs="Times New Roman"/>
        </w:rPr>
        <w:t>珠海打造休闲旅游海岛集群，重点开发横琴岛及周边小岛、大万山岛及周边小岛，积极开发大九洲岛群、桂山岛及周边小岛、外伶仃岛及周边小岛、淇澳岛、三角岛及周边小岛、东澳岛及周边小岛，有条件发展庙湾岛岛群。横琴岛及周边小岛以横琴岛为重点，综合发展地文观光、主题娱乐、休闲度假、生态科普、亲子度假，发挥珠海长隆主题乐园的集聚效应，完善周边设施及相关服务配套，打造世界顶级的综合高端度假休闲岛；周边小岛大三洲、小三洲可发展高端度假休闲及特色游览活动，如专项运动体验基地、海鲜美食岛、海底探秘等，与横琴岛差异化发展。大万山岛及周边小岛应以万山岛优质渔港资源为基础，提升万山岛美食旅游岛的综合吸引力，发展自然观光、休闲度假及生态科普、文化体验、美食品鉴等活动；周边小岛小万山岛、竹洲、白沥岛宜开发私享度假体验项目，结合小岛各异的资源条件，适当增加娱乐、观光等游览项目。大九洲岛群以大九洲岛为重点，提升主岛综合服务能力，开展度假休闲、观光、摄影、徒步等活动；周边辅岛九州头岛、鸡笼岛、横山岛、海濑洲、龙眼洲、横当岛、茶壶盖岛、西大排岛可发展水上运动、休闲潜水等低影响旅游活动，适当开展私享海岛度假休闲活动，满足游客差异化游览需求。桂山岛未来应以帆船旅游业为主，其他海上运动为辅，打造高端海洋旅游岛，周边小岛重点开发运动休闲旅游活动，打造主题各异的运动休闲岛。外伶仃岛未来应对现有度假休闲设施进行提质升级，重点发展休闲度假、商务会议、特色培训等旅游活动，打造特色商务休闲度假岛，周边小岛三门岛、竹湾头岛、黑洲、横岗岛重点开发高端私享度假休闲活动，满足高端客群需求。淇澳岛重点开展自然观光、休闲度假、生态科普、生态研学、文化体验、时尚运动等旅游产品，可适度发展海洋婚庆主题乐园，满足专项客群需求。三角岛及周边小岛以三角岛为核心，联合周边具有较高旅游发展潜力的农林渔业用岛及公共服务用岛，发展自然观光、休闲度假、水上运动、浪漫蜜月等旅游活动；周边小岛适度发展休闲农业和休闲渔业产品。东澳岛及周边小岛以东澳岛南沙湾优质海湾资源及岛上格力东澳大酒店等高端度假休闲资源为基础，重点发展海湾观光、休闲度假产品，适度发展自然观光、文化体验、时尚运动产品，全面提升东澳岛综合吸引力；周边小岛适度发展休闲农业和休闲渔业产品，满足不同客群需求。庙湾岛岛群以庙湾岛为重点，联合周边具有较高旅游发展潜力的农林渔业用岛及公共服务用岛，开展生态观光、生态体验和生态研学等生态旅游项目，打造海洋生态体验岛，在旅游发展中应处理好自然保护区等限制因素的关系。</w:t>
      </w:r>
    </w:p>
    <w:p>
      <w:pPr>
        <w:pStyle w:val="42"/>
        <w:spacing w:line="600" w:lineRule="exact"/>
        <w:rPr>
          <w:rFonts w:cs="Times New Roman"/>
        </w:rPr>
      </w:pPr>
      <w:r>
        <w:rPr>
          <w:rFonts w:cs="Times New Roman"/>
        </w:rPr>
        <w:t>汕头重点发展南澳岛及周边小岛。南澳岛应提升观光度假综合服务能力，重点开展度假休闲、徒步、摄影、海上运动等活动；周边猎屿、案屿、官屿、塔屿、凤屿、狮仔屿、案仔屿等小岛应以生态文化体验或高端度假产品为主，发展特色品位岛或私享旅游海岛。</w:t>
      </w:r>
    </w:p>
    <w:p>
      <w:pPr>
        <w:pStyle w:val="42"/>
        <w:spacing w:line="600" w:lineRule="exact"/>
        <w:rPr>
          <w:rFonts w:cs="Times New Roman"/>
        </w:rPr>
      </w:pPr>
      <w:r>
        <w:rPr>
          <w:rFonts w:cs="Times New Roman"/>
        </w:rPr>
        <w:t>惠州在协调好海岛旅游发展与自然保护区生态保护的基础上，发展惠东三角洲、大辣甲岛群。惠东三角洲重点发展自然观光旅游活动，不宜继续开展专项运动、商务会议及海洋公园等对环境影响较大的旅游项目；在加强环境保护并协调好自然保护区关系的基础上，积极探索生态科普旅游项目。大辣甲岛群以大辣甲为重点，发展海岛生态观光、生态体验和生态研学等活动；周边辅岛惠阳横洲、牛头洲、白沙洲、小鹅洲、惠阳赤洲、鹅洲可开展生态科考和生态研究，主打高端生态客群；旅游发展过程中应重点协调与自然保护区等限制因素的关系。</w:t>
      </w:r>
    </w:p>
    <w:p>
      <w:pPr>
        <w:pStyle w:val="42"/>
        <w:spacing w:line="600" w:lineRule="exact"/>
        <w:rPr>
          <w:rFonts w:cs="Times New Roman"/>
        </w:rPr>
      </w:pPr>
      <w:r>
        <w:rPr>
          <w:rFonts w:cs="Times New Roman"/>
        </w:rPr>
        <w:t>汕尾重点发展遮浪岩、龟龄岛岛群。遮浪岩重点开发岛岸观光、环岛徒步、海水浴场、休闲海钓等活动，同时与大陆度假区建立更为紧密的联系，实现协同发展，互惠互利。龟龄岛岛群以龟龄岛为重点，突出岛上宗教文化及海洋文化，发展中高端禅修游，开展观光体验和休闲娱乐活动；周边具有较高旅游发展潜力的农林渔业用岛及公共服务用岛可开展私享度假休闲和海洋科技创新活动。</w:t>
      </w:r>
    </w:p>
    <w:p>
      <w:pPr>
        <w:pStyle w:val="42"/>
        <w:spacing w:line="600" w:lineRule="exact"/>
        <w:rPr>
          <w:rFonts w:cs="Times New Roman"/>
        </w:rPr>
      </w:pPr>
      <w:r>
        <w:rPr>
          <w:rFonts w:cs="Times New Roman"/>
        </w:rPr>
        <w:t>东莞重点发展威远岛。威远岛应突出历史文化资源，重点开展爱国主义教育活动，游览活动以自然观光、生态科普及文化体验为主，同时兼顾东莞滨海湾新区建设要求，打造宜居宜业宜游的综合智慧岛。</w:t>
      </w:r>
    </w:p>
    <w:p>
      <w:pPr>
        <w:pStyle w:val="42"/>
        <w:spacing w:line="600" w:lineRule="exact"/>
        <w:rPr>
          <w:rFonts w:cs="Times New Roman"/>
        </w:rPr>
      </w:pPr>
      <w:r>
        <w:rPr>
          <w:rFonts w:cs="Times New Roman"/>
        </w:rPr>
        <w:t>中山结合中山翠亨新区填海连陆计划，结合周边红树林保护，打造新区海上生态综合城市休闲绿岛。</w:t>
      </w:r>
    </w:p>
    <w:p>
      <w:pPr>
        <w:pStyle w:val="42"/>
        <w:spacing w:line="600" w:lineRule="exact"/>
        <w:rPr>
          <w:rFonts w:cs="Times New Roman"/>
        </w:rPr>
      </w:pPr>
      <w:r>
        <w:rPr>
          <w:rFonts w:cs="Times New Roman"/>
        </w:rPr>
        <w:t>江门重点发展上下川岛及周边小岛。上下川岛及周边小岛以上下川岛为重点，结合海丝文化、海岛寻宝主题大力提升主岛综合服务能力，开发度假休闲、摄影、徒步、自然及文化观光等项目；周边小岛王府洲、坪洲、琵琶洲、观鱼洲、山猪洲、马骝公岛、狗尾岛、大风北岛、格勒岛、大招头岛、磴口排、墨斗岛、宝鸭洲、高冠洲、飞沙洲宜开发高端度假、私享海岛、海底探秘等特色休闲活动，丰富游客游览需求；其中王府洲旅游发展应注意限制条件。</w:t>
      </w:r>
    </w:p>
    <w:p>
      <w:pPr>
        <w:pStyle w:val="42"/>
        <w:spacing w:line="600" w:lineRule="exact"/>
        <w:rPr>
          <w:rFonts w:cs="Times New Roman"/>
        </w:rPr>
      </w:pPr>
      <w:r>
        <w:rPr>
          <w:rFonts w:cs="Times New Roman"/>
        </w:rPr>
        <w:t>阳江重点发展海陵岛及周边小岛，在保护好岛屿资源的前提下，适度发展南鹏岛。海陵岛及周边小岛以海陵岛为重点，增加海洋公园、帆船基地等特色游览项目；周边小岛三山、龟山、老鼠山、西寺仔山、寺仔山、马尾洲仔、马尾大洲、鸦洲宜开发特色旅游项目，适度发展高端度假产品，如游艇婚礼、私享海岛等，满足游客多样化需求。南鹏岛岛群以南鹏岛为重点，结合岛上军事遗迹开展爱国主义文化体验活动，结合岛上丰富的植物资源开展生态观光、科学考察等活动，提升主岛的综合吸引力；周边具有较高旅游发展潜力的农林渔业用岛及公共服务用岛结合附近海域盛产的珍贵海产品及岛上资源开展美食品鉴、生态科普等旅游活动。</w:t>
      </w:r>
    </w:p>
    <w:p>
      <w:pPr>
        <w:pStyle w:val="42"/>
        <w:spacing w:line="600" w:lineRule="exact"/>
        <w:rPr>
          <w:rFonts w:cs="Times New Roman"/>
        </w:rPr>
      </w:pPr>
      <w:r>
        <w:rPr>
          <w:rFonts w:cs="Times New Roman"/>
        </w:rPr>
        <w:t>湛江重点发展“湛江五岛”，在保护好海岛资源的前提下适度发展罗斗沙。“湛江五岛”以南三岛为重点，联合特呈岛、东海岛、硇洲岛、南屏岛，依托湛江湾的优势资源打造综合休闲旅游品牌。南三岛重点发展商务会议、休闲度假、养生康体、主题娱乐产品；其余四岛结合资源特征发展文化观光、生态探秘、休闲度假、地质探奇等产品。罗斗沙应控制岛上住宿餐饮等基础设施建设，保护现有特色资源，发展观星、潜水等对岛屿现有生态资源影响较小的旅游项目，保护海上“仙洲”的旅游吸引力。</w:t>
      </w:r>
    </w:p>
    <w:p>
      <w:pPr>
        <w:pStyle w:val="42"/>
        <w:spacing w:line="600" w:lineRule="exact"/>
        <w:rPr>
          <w:rFonts w:cs="Times New Roman"/>
        </w:rPr>
      </w:pPr>
      <w:r>
        <w:rPr>
          <w:rFonts w:cs="Times New Roman"/>
        </w:rPr>
        <w:t>茂名重点发展放鸡岛。放鸡岛目前旅游开发层次偏低，设备设施偏中低端，未来宜适当增加多种形式的中高端度假休闲项目，提升岛屿综合吸引力。</w:t>
      </w:r>
    </w:p>
    <w:p>
      <w:pPr>
        <w:pStyle w:val="42"/>
        <w:spacing w:line="600" w:lineRule="exact"/>
        <w:rPr>
          <w:rFonts w:cs="Times New Roman"/>
        </w:rPr>
      </w:pPr>
      <w:r>
        <w:rPr>
          <w:rFonts w:cs="Times New Roman"/>
        </w:rPr>
        <w:t>潮州重点发展西澳岛、汛洲岛、海山岛及周边小岛。西澳岛与汛洲岛重点开展观鸟、生态科普、生态观光等生态旅游活动；有条件可适度开展美食品鉴等活动；旅游发展过程中应严密监测生态环境指标，保障生态环境安全。海山岛重点开展自然观光、休闲度假、文化体验及船艇旅游等活动；周边小岛圆屿重点发展自然观光、生态科普及生态研学等活动。</w:t>
      </w:r>
    </w:p>
    <w:p>
      <w:pPr>
        <w:pStyle w:val="42"/>
        <w:spacing w:line="600" w:lineRule="exact"/>
        <w:rPr>
          <w:rFonts w:cs="Times New Roman"/>
        </w:rPr>
      </w:pPr>
      <w:r>
        <w:rPr>
          <w:rFonts w:cs="Times New Roman"/>
        </w:rPr>
        <w:t>揭阳探索发展石碑山角。石碑山角结合所毗邻的大陆岸线，重点发展蓝色国土爱国主义教育基地，有条件开展观光旅游活动。在发展旅游过程中注意保护领海基点所在海岛环境及安全。</w:t>
      </w:r>
    </w:p>
    <w:p>
      <w:pPr>
        <w:pStyle w:val="4"/>
        <w:numPr>
          <w:ilvl w:val="0"/>
          <w:numId w:val="0"/>
        </w:numPr>
        <w:spacing w:line="600" w:lineRule="exact"/>
        <w:rPr>
          <w:rFonts w:ascii="Times New Roman" w:cs="Times New Roman"/>
        </w:rPr>
      </w:pPr>
      <w:bookmarkStart w:id="40" w:name="_Toc465958434"/>
      <w:bookmarkStart w:id="41" w:name="_Toc467495348"/>
      <w:bookmarkStart w:id="42" w:name="_Toc23085"/>
      <w:r>
        <w:rPr>
          <w:rFonts w:ascii="Times New Roman" w:cs="Times New Roman"/>
        </w:rPr>
        <w:t>（五）产业协调，提质增效服务</w:t>
      </w:r>
      <w:bookmarkEnd w:id="40"/>
      <w:bookmarkEnd w:id="41"/>
      <w:r>
        <w:rPr>
          <w:rFonts w:ascii="Times New Roman" w:cs="Times New Roman"/>
        </w:rPr>
        <w:t>升级</w:t>
      </w:r>
      <w:bookmarkEnd w:id="42"/>
    </w:p>
    <w:p>
      <w:pPr>
        <w:pStyle w:val="91"/>
        <w:widowControl w:val="0"/>
        <w:spacing w:line="600" w:lineRule="exact"/>
        <w:rPr>
          <w:rFonts w:ascii="Times New Roman" w:hAnsi="Times New Roman" w:cs="Times New Roman"/>
        </w:rPr>
      </w:pPr>
      <w:r>
        <w:rPr>
          <w:rFonts w:ascii="Times New Roman" w:hAnsi="Times New Roman" w:cs="Times New Roman"/>
        </w:rPr>
        <w:t>1.完善餐饮服务体系</w:t>
      </w:r>
    </w:p>
    <w:p>
      <w:pPr>
        <w:spacing w:line="600" w:lineRule="exact"/>
        <w:ind w:firstLine="640"/>
      </w:pPr>
      <w:r>
        <w:t>以亚洲美食旅游目的地为建设目标，全面推进餐饮服务体系建设。突出广府菜、潮汕菜、客家菜等广东各类美食特色菜系，打出美食旅游组合拳；引进国外各地美食，定期选取不同主题，举办国际海岛海鲜美食文化节；建立从高档海鲜饭店、夜市大排档到沙滩烧烤全面覆盖市场需求的海鲜餐饮供应体系，全力推进即捕即食、即捞即食等有地方特色的海鲜餐饮产品，发展高端海鲜餐饮服务，推动海鲜餐饮创新升级；以汕头揭阳地区的鱿鱼和鲍鱼、汕尾的紫海胆、深圳鲜蚝、珠海基围虾、桂山蚬、外伶仃海胆、江门文蛤、阳江花鳝和海参、湛江大对虾和沙虫等为主要特色海鲜资源，打响广东海岛餐饮品牌。</w:t>
      </w:r>
    </w:p>
    <w:p>
      <w:pPr>
        <w:pStyle w:val="6"/>
        <w:numPr>
          <w:ilvl w:val="4"/>
          <w:numId w:val="0"/>
        </w:numPr>
        <w:spacing w:line="600" w:lineRule="exact"/>
        <w:rPr>
          <w:rFonts w:eastAsia="仿宋_GB2312"/>
          <w:b/>
        </w:rPr>
      </w:pPr>
      <w:r>
        <w:rPr>
          <w:rFonts w:eastAsia="仿宋_GB2312"/>
          <w:b/>
        </w:rPr>
        <w:t>2.健全住宿服务体系</w:t>
      </w:r>
    </w:p>
    <w:p>
      <w:pPr>
        <w:spacing w:line="600" w:lineRule="exact"/>
        <w:ind w:firstLine="640"/>
      </w:pPr>
      <w:r>
        <w:t>建立与市场需求相适应、多层次多维度的住宿设施，重点实施民宿特色化、酒店精品化建设，强化海岛民宿品牌的地域标签和文化包装，增强品牌辨识度，开发会议培训类住宿服务设施，平衡海岛旅游淡旺季。突出全海景、无边泳池、独享沙滩等要素，营造浪漫住宿氛围，升级改造酒店硬件设施，着力提升服务质量，完善餐饮、娱乐等配套服务。引进先进酒店管理系统，学习国际酒店管理经验，逐渐形成广东海岛住宿品牌。</w:t>
      </w:r>
    </w:p>
    <w:p>
      <w:pPr>
        <w:pStyle w:val="6"/>
        <w:numPr>
          <w:ilvl w:val="4"/>
          <w:numId w:val="0"/>
        </w:numPr>
        <w:spacing w:line="600" w:lineRule="exact"/>
        <w:rPr>
          <w:rFonts w:eastAsia="仿宋_GB2312"/>
          <w:b/>
        </w:rPr>
      </w:pPr>
      <w:r>
        <w:rPr>
          <w:rFonts w:eastAsia="仿宋_GB2312"/>
          <w:b/>
        </w:rPr>
        <w:t>3.提升岛陆交通体系</w:t>
      </w:r>
    </w:p>
    <w:p>
      <w:pPr>
        <w:spacing w:line="600" w:lineRule="exact"/>
        <w:ind w:firstLine="640"/>
      </w:pPr>
      <w:r>
        <w:t>建立多样交通衔接融合的立体交通网络；加快建设广东滨海旅游公路，提升滨海地区交通服务水平，支撑海岛旅游加快发展；推进交通运输方式之间“零距离换乘”，增加重要客源城市的高铁列次和航班班次，保障车站和机场转换乘的顺畅，做好最后一公里的接待，使游客从客源地到目的地实现全程无障碍、高效率出行，交通时间成本压缩在一天以内。集约利用码头、基础设施和旅游服务设施等资源，有序地、重点地打造一批海洋旅游桥头堡。在深圳、珠海、汕尾、阳江、江门、惠州等地市集中建设一级桥头堡，形成综合旅游服务基地，除具有海上公共交通渡轮、游艇租赁和私家游艇停泊等旅游码头的集散功能外，还提供游客中心、餐饮服务、旅游厕所、旅游购物等服务；在其它地市建设二级桥头堡，形成海岛旅游集散中心，建设中型旅游码头，提供中小型游船、游艇的管理服务，提供海上公共交通渡轮、游艇租赁服务和私家艇停泊等服务，提供游客服务中心和旅游厕所等旅游服务功能；在海岛旅游开发较少的地市以及小型观光型海岛等处灵活配置三级桥头堡，形成海陆无缝接驳节点，建设小型旅游码头，提供海上公共交通渡轮、游艇租赁服务、私家艇停泊区和小型服务区等便捷性功能。引入低空飞行等新型交通方式，探索解决远距离海岛进入难的问题，结合旅游发展新趋势和国家政策导向，整合海岛旅游资源与空域资源，探索开通海岸至海岛、主岛至辅岛的低空飞行航线。</w:t>
      </w:r>
    </w:p>
    <w:p>
      <w:pPr>
        <w:pStyle w:val="6"/>
        <w:numPr>
          <w:ilvl w:val="4"/>
          <w:numId w:val="0"/>
        </w:numPr>
        <w:spacing w:line="600" w:lineRule="exact"/>
        <w:rPr>
          <w:rFonts w:eastAsia="仿宋_GB2312"/>
          <w:b/>
        </w:rPr>
      </w:pPr>
      <w:r>
        <w:rPr>
          <w:rFonts w:eastAsia="仿宋_GB2312"/>
          <w:b/>
        </w:rPr>
        <w:t>4.强化游览服务支撑体系</w:t>
      </w:r>
    </w:p>
    <w:p>
      <w:pPr>
        <w:spacing w:line="600" w:lineRule="exact"/>
        <w:ind w:firstLine="640"/>
      </w:pPr>
      <w:r>
        <w:t>建立完善的海岛地接旅行社和导游服务提供商等旅游服务企业体系；建立旅游信息咨询、网络信息发布和旅游标识解说等信息咨询服务体系；建立方便快捷的银行服务和移动支付服务等便民商业服务体系；建立旅游安全环境、旅游安全设施、旅游安全机制等保障服务体系；建立旅游行业规范与标准、旅游从业者教育培训、旅游者消费保障服务等旅游行政服务体系。</w:t>
      </w:r>
    </w:p>
    <w:p>
      <w:pPr>
        <w:pStyle w:val="91"/>
        <w:widowControl w:val="0"/>
        <w:spacing w:line="600" w:lineRule="exact"/>
        <w:rPr>
          <w:rFonts w:ascii="Times New Roman" w:hAnsi="Times New Roman" w:cs="Times New Roman"/>
        </w:rPr>
      </w:pPr>
      <w:r>
        <w:rPr>
          <w:rFonts w:ascii="Times New Roman" w:hAnsi="Times New Roman" w:cs="Times New Roman"/>
        </w:rPr>
        <w:t>5.统筹旅游购物服务体系</w:t>
      </w:r>
    </w:p>
    <w:p>
      <w:pPr>
        <w:spacing w:line="600" w:lineRule="exact"/>
        <w:ind w:firstLine="640"/>
      </w:pPr>
      <w:r>
        <w:t>通过深加工海产、规模种植有机农作物、加工制作贝类工艺品，打造系列具有海岛特色和吸引力的旅游商品和旅游手信。多节点推进海洋海岛旅游商品建设，品牌定位必须与旅游地的品牌认知一致，创意设计方面要体现文化情感、多功能性、艺术品位和时代特色。通过政府引导、市场遴选、加大衍生商品研发等逐步进行商品推广营销。提升旅游购物设施和服务环境，提升物流能力，突破展示空间边界。举办设计大赛、作品评选和商品博览等活动，提升设计与生产水平；规模生产降低成本，匹配市场消费水平。</w:t>
      </w:r>
    </w:p>
    <w:p>
      <w:pPr>
        <w:pStyle w:val="91"/>
        <w:widowControl w:val="0"/>
        <w:spacing w:line="600" w:lineRule="exact"/>
        <w:rPr>
          <w:rFonts w:ascii="Times New Roman" w:hAnsi="Times New Roman" w:cs="Times New Roman"/>
        </w:rPr>
      </w:pPr>
      <w:r>
        <w:rPr>
          <w:rFonts w:ascii="Times New Roman" w:hAnsi="Times New Roman" w:cs="Times New Roman"/>
        </w:rPr>
        <w:t>6.丰富旅游娱乐服务体系</w:t>
      </w:r>
    </w:p>
    <w:p>
      <w:pPr>
        <w:spacing w:line="600" w:lineRule="exact"/>
        <w:ind w:firstLine="640"/>
      </w:pPr>
      <w:r>
        <w:t>开发夜间旅游活动，丰富夜间娱乐，提高过夜游客比例，增加旅游收入。结合海丝文化、海洋文化开发海上实景演出项目，以海、港、湾为舞台，运用现代技术，为观众制造前所未有的视觉震撼效果，展现广东海洋情结；在海陵岛、南澳岛等与海丝相关的海岛策划海洋文化节和海丝文化节等当代节事活动。依托广东丰富的民俗节日和深厚的传统文化，开展广东醒狮等旅游节事活动。</w:t>
      </w:r>
    </w:p>
    <w:p>
      <w:pPr>
        <w:pStyle w:val="6"/>
        <w:numPr>
          <w:ilvl w:val="4"/>
          <w:numId w:val="0"/>
        </w:numPr>
        <w:spacing w:line="600" w:lineRule="exact"/>
        <w:rPr>
          <w:rFonts w:eastAsia="仿宋_GB2312"/>
          <w:b/>
        </w:rPr>
      </w:pPr>
      <w:r>
        <w:rPr>
          <w:rFonts w:eastAsia="仿宋_GB2312"/>
          <w:b/>
        </w:rPr>
        <w:t>7.提升海岛亲海设施建设</w:t>
      </w:r>
    </w:p>
    <w:p>
      <w:pPr>
        <w:spacing w:line="600" w:lineRule="exact"/>
        <w:ind w:firstLine="640"/>
        <w:rPr>
          <w:color w:val="244061"/>
        </w:rPr>
      </w:pPr>
      <w:r>
        <w:t>升级与巩固海岛亲海道路基础设施建设；高标准打造海岛环岛亲海大道、陆岛跨海大桥、海底隧道、水上飞行航道、集疏运网络和港口配套设施，进一步完善海岛至内陆及主要海岛“半小时交通圈”，建立健全省内主</w:t>
      </w:r>
      <w:r>
        <w:rPr>
          <w:color w:val="244061"/>
        </w:rPr>
        <w:t>要大岛成环成网的水陆交通体系，逐步构建海、陆、空综合立体交通网络。提升海岛亲海游乐设施建设，建设世界级标准的海水浴场、海上游乐园、冲浪基地等娱乐设施，精心做好海岛旅游项目、休闲项目的筛选、包装和推介，打造广东海岛亲海游乐生态品牌，吸引社会各界在海岛度假区旅游项目、休闲项目上投资，拓宽投融资渠道，进而完善海岛亲海游乐设施建设。配套海岛亲海其他设施建设，对海岛水利基础设施、港口设施、市政设施、能源设施、环保设施、社会发展及其它设施等，进行统一规划、建设和管理，改善投资与发展环境，完善构建与全省经济社会可持续发展相适应的现代化的海岛亲海基础设施体系。</w:t>
      </w:r>
    </w:p>
    <w:p>
      <w:pPr>
        <w:pStyle w:val="6"/>
        <w:numPr>
          <w:ilvl w:val="4"/>
          <w:numId w:val="0"/>
        </w:numPr>
        <w:spacing w:line="600" w:lineRule="exact"/>
        <w:rPr>
          <w:rFonts w:eastAsia="仿宋_GB2312"/>
          <w:b/>
          <w:color w:val="244061"/>
        </w:rPr>
      </w:pPr>
      <w:r>
        <w:rPr>
          <w:rFonts w:eastAsia="仿宋_GB2312"/>
          <w:b/>
          <w:color w:val="244061"/>
        </w:rPr>
        <w:t>8.促进海岛旅游信息化与智慧化建设</w:t>
      </w:r>
    </w:p>
    <w:p>
      <w:pPr>
        <w:spacing w:line="600" w:lineRule="exact"/>
        <w:ind w:firstLine="640"/>
      </w:pPr>
      <w:r>
        <w:rPr>
          <w:color w:val="244061"/>
        </w:rPr>
        <w:t>建设海岛旅游信息化基础设施，积极落实《广东省“旅游+互联网”行动计划（2016-2020年）》，到2020年，省海岛类3A级以上景区和3星级以上饭店实现免费WiFi覆盖，海岛旅游所涉及的游船、旅游大巴、4A级以上旅游景区的重点区域实现监控合理布局，在省级旅游大数据公共服务平台基本建成海岛旅游版块。构建海岛智慧旅游政务体系，完善海岛旅游数据的统计与采集，形成省、市、县（区）三级旅游统计体系。探索建设多部门数据共享的海岛旅游监测平台。完善海岛智慧旅游服务，到2018年，海陵岛大角湾等海岛类5A级景区全部建设成为智慧景区。到2020年，海岛类4A级景区实现智慧旅游服务功能全覆盖。鼓励旅游渔村渔港运用互联网提升旅游服务水平。发展海岛旅游电子商务与网络营销，支持海岛景区、邮轮等旅游企业与OTA平台合作，推动优质海岛旅游商品在线销售，鼓励海岛</w:t>
      </w:r>
      <w:r>
        <w:t>旅游目的地建立传统渠道和互联网、微博、微信等新媒体渠道相结合的全媒体信息传播机制。推动海岛智慧旅游创业创新，引导社会资本介入海岛智慧旅游领域，鼓励旅游企业和互联网企业通过战略投资等市场化方式融合发展。</w:t>
      </w:r>
    </w:p>
    <w:p>
      <w:pPr>
        <w:pStyle w:val="4"/>
        <w:numPr>
          <w:ilvl w:val="0"/>
          <w:numId w:val="0"/>
        </w:numPr>
        <w:spacing w:line="600" w:lineRule="exact"/>
        <w:rPr>
          <w:rFonts w:ascii="Times New Roman" w:cs="Times New Roman"/>
        </w:rPr>
      </w:pPr>
      <w:bookmarkStart w:id="43" w:name="_Toc24580"/>
      <w:r>
        <w:rPr>
          <w:rFonts w:ascii="Times New Roman" w:cs="Times New Roman"/>
        </w:rPr>
        <w:t>（六）绿色发展，生态文明保护优先</w:t>
      </w:r>
      <w:bookmarkEnd w:id="43"/>
    </w:p>
    <w:p>
      <w:pPr>
        <w:pStyle w:val="42"/>
        <w:spacing w:line="600" w:lineRule="exact"/>
        <w:rPr>
          <w:rFonts w:cs="Times New Roman"/>
        </w:rPr>
      </w:pPr>
      <w:r>
        <w:rPr>
          <w:rFonts w:cs="Times New Roman"/>
        </w:rPr>
        <w:t>遵循绿色发展理念，坚持生态保护优先，确定生态保护原则。一是保护优先于利用原则，按广东省海洋生态红线划定范围与对象，依层次划分，依法监管。二是分类分级分责保护原则，按照资源禀赋、价值评估等条件分类分级保护，制定保护措施和责任分工。三是严格遵守三线一标原则，以尊重自然、保护自然为优先，严格遵守海岛自然岸线、海洋生态红线、大陆自然岸线和海水质量控制指标保有率控制要求。四是指标与监管可持续原则，按不同保护对象与不同保护指标，采用不同的保护方式，与不同职能部门挂钩，形成专线执法队伍。五是严格遵守国际重要湿地、自然保护区、森林公园建设管理的相关法律法规，规划建设项目的区域范围应避免与国际重要湿地、自然保护区、森林公园、湿地公园的范围重叠或交叉。若在上述保护区域内开展科普旅游活动，必须遵守自然保护区域管理的相关规定。</w:t>
      </w:r>
    </w:p>
    <w:p>
      <w:pPr>
        <w:pStyle w:val="91"/>
        <w:widowControl w:val="0"/>
        <w:spacing w:line="600" w:lineRule="exac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明确海岛生态保护对象和保护目标</w:t>
      </w:r>
    </w:p>
    <w:p>
      <w:pPr>
        <w:spacing w:line="600" w:lineRule="exact"/>
        <w:ind w:firstLine="640" w:firstLineChars="0"/>
      </w:pPr>
      <w:r>
        <w:t>加强对休闲旅游海岛的地貌、岸线、沙滩、土壤、草原、湿地、森林、植被、生物、地下水、淡水资源及海岛周边海域、海水资源的保护，严格落实国家生态红线的管控要求。依据国家生态环境保护规划，规划涉及的海岛，海岛自然岸线保有率控制指标≥85%，海洋生态红线区面积控制指标≥25%，海水质量控制指标达到70%左右。推进一批生态保育和生态岛礁建设工程，形成网络化的生态环境保护架构。</w:t>
      </w:r>
    </w:p>
    <w:p>
      <w:pPr>
        <w:pStyle w:val="91"/>
        <w:widowControl w:val="0"/>
        <w:spacing w:line="600" w:lineRule="exac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开展海岛旅游资源和生态条件调查评估</w:t>
      </w:r>
    </w:p>
    <w:p>
      <w:pPr>
        <w:pStyle w:val="42"/>
        <w:spacing w:line="600" w:lineRule="exact"/>
        <w:rPr>
          <w:rFonts w:cs="Times New Roman"/>
        </w:rPr>
      </w:pPr>
      <w:r>
        <w:rPr>
          <w:rFonts w:cs="Times New Roman"/>
        </w:rPr>
        <w:t>摸清广东旅游海岛的数量、位置、面积、岸线、资源、生态等基本情况，评价海岛资源承载力、环境容量、生态系统服务功能和自然灾害分布特征等内容。</w:t>
      </w:r>
    </w:p>
    <w:p>
      <w:pPr>
        <w:pStyle w:val="91"/>
        <w:widowControl w:val="0"/>
        <w:spacing w:line="600" w:lineRule="exac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划定海岛生态功能区与分类保护区</w:t>
      </w:r>
    </w:p>
    <w:p>
      <w:pPr>
        <w:pStyle w:val="42"/>
        <w:spacing w:line="600" w:lineRule="exact"/>
        <w:rPr>
          <w:rFonts w:cs="Times New Roman"/>
        </w:rPr>
      </w:pPr>
      <w:r>
        <w:rPr>
          <w:rFonts w:cs="Times New Roman"/>
        </w:rPr>
        <w:t>根据无居民海岛的生态特征、生态系统服务功能与生态敏感性空间分异规律，开展海岛生态红线技术路线研究，适当扩大海岛生态红线制度实施范围，确定海岛不同区块的主导生态功能；明确自然资源、自然景观以及历史、人文遗迹等的保护界限与种类，界定法律范畴，确立保护规章，规范类别用途，明确海岛保护途径，进一步确定旅游功能分区或空间结构，分类分区进行保护，降低对生态的干扰影响。</w:t>
      </w:r>
    </w:p>
    <w:p>
      <w:pPr>
        <w:pStyle w:val="91"/>
        <w:widowControl w:val="0"/>
        <w:spacing w:line="600" w:lineRule="exact"/>
        <w:rPr>
          <w:rFonts w:ascii="Times New Roman" w:hAnsi="Times New Roman" w:cs="Times New Roman"/>
        </w:rPr>
      </w:pPr>
      <w:r>
        <w:rPr>
          <w:rFonts w:ascii="Times New Roman" w:hAnsi="Times New Roman" w:cs="Times New Roman"/>
        </w:rPr>
        <w:t>4.加强海岛生态修复与景观建设</w:t>
      </w:r>
    </w:p>
    <w:p>
      <w:pPr>
        <w:pStyle w:val="42"/>
        <w:spacing w:line="600" w:lineRule="exact"/>
        <w:rPr>
          <w:rFonts w:cs="Times New Roman"/>
        </w:rPr>
      </w:pPr>
      <w:r>
        <w:rPr>
          <w:rFonts w:cs="Times New Roman"/>
        </w:rPr>
        <w:t>结合不同领域、不同地区海岛的差异性，将海岛生态学和景观生态学相结合，主要以生物修复为基础，结合物理修复、化学修复、工程技术修复等措施，通过优化组合，实施海岛陆域生态系统受损修复试点工程和海岛周边红树林、珊瑚礁、海草床等生态系统修复试点工程建设。加强海岛生态景观建设，重点推进植被景观建设、湿地景观建设、珊瑚景观建设、水体景观建设、生物多样性保护与外来物种保护管控等。</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vAlign w:val="top"/>
          </w:tcPr>
          <w:p>
            <w:pPr>
              <w:spacing w:beforeLines="40" w:afterLines="40" w:line="300" w:lineRule="exact"/>
              <w:ind w:firstLine="0" w:firstLineChars="0"/>
              <w:jc w:val="center"/>
              <w:rPr>
                <w:b/>
                <w:sz w:val="28"/>
                <w:szCs w:val="28"/>
              </w:rPr>
            </w:pPr>
            <w:r>
              <w:rPr>
                <w:b/>
                <w:sz w:val="28"/>
                <w:szCs w:val="28"/>
              </w:rPr>
              <w:t>专栏3 海岛景观修复与建设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67" w:type="dxa"/>
            <w:vAlign w:val="top"/>
          </w:tcPr>
          <w:p>
            <w:pPr>
              <w:pStyle w:val="42"/>
              <w:spacing w:beforeLines="50" w:afterLines="50" w:line="300" w:lineRule="exact"/>
              <w:ind w:firstLine="0" w:firstLineChars="0"/>
              <w:rPr>
                <w:rFonts w:cs="Times New Roman"/>
                <w:sz w:val="28"/>
                <w:szCs w:val="28"/>
              </w:rPr>
            </w:pPr>
            <w:r>
              <w:rPr>
                <w:rFonts w:cs="Times New Roman"/>
                <w:sz w:val="28"/>
                <w:szCs w:val="28"/>
              </w:rPr>
              <w:t>1 采用滩丘补沙等技术修复优化海岛沙滩景观。</w:t>
            </w:r>
          </w:p>
          <w:p>
            <w:pPr>
              <w:pStyle w:val="42"/>
              <w:spacing w:beforeLines="50" w:afterLines="50" w:line="300" w:lineRule="exact"/>
              <w:ind w:firstLine="0" w:firstLineChars="0"/>
              <w:rPr>
                <w:rFonts w:cs="Times New Roman"/>
                <w:sz w:val="28"/>
                <w:szCs w:val="28"/>
              </w:rPr>
            </w:pPr>
            <w:r>
              <w:rPr>
                <w:rFonts w:cs="Times New Roman"/>
                <w:sz w:val="28"/>
                <w:szCs w:val="28"/>
              </w:rPr>
              <w:t>2 采用生境保育与人工鱼礁、海洋牧场等技术促进海岛及近岸海域生态景观恢复。</w:t>
            </w:r>
          </w:p>
          <w:p>
            <w:pPr>
              <w:pStyle w:val="42"/>
              <w:spacing w:beforeLines="50" w:afterLines="50" w:line="300" w:lineRule="exact"/>
              <w:ind w:firstLine="0" w:firstLineChars="0"/>
              <w:rPr>
                <w:rFonts w:cs="Times New Roman"/>
                <w:sz w:val="28"/>
                <w:szCs w:val="28"/>
              </w:rPr>
            </w:pPr>
            <w:r>
              <w:rPr>
                <w:rFonts w:cs="Times New Roman"/>
                <w:sz w:val="28"/>
                <w:szCs w:val="28"/>
              </w:rPr>
              <w:t>3 通过土壤改良、水质提升与林木管护等措施实现红树林景观的培育。</w:t>
            </w:r>
          </w:p>
          <w:p>
            <w:pPr>
              <w:pStyle w:val="42"/>
              <w:spacing w:beforeLines="50" w:afterLines="50" w:line="300" w:lineRule="exact"/>
              <w:ind w:firstLine="0" w:firstLineChars="0"/>
              <w:rPr>
                <w:rFonts w:cs="Times New Roman"/>
                <w:sz w:val="28"/>
                <w:szCs w:val="28"/>
              </w:rPr>
            </w:pPr>
            <w:r>
              <w:rPr>
                <w:rFonts w:cs="Times New Roman"/>
                <w:sz w:val="28"/>
                <w:szCs w:val="28"/>
              </w:rPr>
              <w:t>4 通过自然修复与人工修复结合的方法修复和构建珊瑚礁特色岩礁景观。</w:t>
            </w:r>
          </w:p>
          <w:p>
            <w:pPr>
              <w:pStyle w:val="42"/>
              <w:spacing w:beforeLines="50" w:afterLines="50" w:line="300" w:lineRule="exact"/>
              <w:ind w:firstLine="0" w:firstLineChars="0"/>
              <w:rPr>
                <w:rFonts w:cs="Times New Roman"/>
                <w:sz w:val="28"/>
                <w:szCs w:val="28"/>
              </w:rPr>
            </w:pPr>
            <w:r>
              <w:rPr>
                <w:rFonts w:cs="Times New Roman"/>
                <w:sz w:val="28"/>
                <w:szCs w:val="28"/>
              </w:rPr>
              <w:t>5 采用梯状湿地营造等技术修复近海湿地景观。</w:t>
            </w:r>
          </w:p>
          <w:p>
            <w:pPr>
              <w:pStyle w:val="42"/>
              <w:spacing w:beforeLines="50" w:afterLines="50" w:line="300" w:lineRule="exact"/>
              <w:ind w:firstLine="0" w:firstLineChars="0"/>
              <w:rPr>
                <w:rFonts w:cs="Times New Roman"/>
                <w:sz w:val="28"/>
                <w:szCs w:val="28"/>
              </w:rPr>
            </w:pPr>
            <w:r>
              <w:rPr>
                <w:rFonts w:cs="Times New Roman"/>
                <w:sz w:val="28"/>
                <w:szCs w:val="28"/>
              </w:rPr>
              <w:t>6 采用生境整治、植株移植等方法修复海草与海藻景观。</w:t>
            </w:r>
          </w:p>
          <w:p>
            <w:pPr>
              <w:pStyle w:val="42"/>
              <w:spacing w:beforeLines="50" w:afterLines="50" w:line="300" w:lineRule="exact"/>
              <w:ind w:firstLine="0" w:firstLineChars="0"/>
              <w:rPr>
                <w:rFonts w:cs="Times New Roman"/>
                <w:sz w:val="28"/>
                <w:szCs w:val="28"/>
              </w:rPr>
            </w:pPr>
            <w:r>
              <w:rPr>
                <w:rFonts w:cs="Times New Roman"/>
                <w:sz w:val="28"/>
                <w:szCs w:val="28"/>
              </w:rPr>
              <w:t>7 以乡土植被为主进行岛陆植被景观优化。</w:t>
            </w:r>
          </w:p>
          <w:p>
            <w:pPr>
              <w:pStyle w:val="42"/>
              <w:spacing w:beforeLines="50" w:afterLines="50" w:line="300" w:lineRule="exact"/>
              <w:ind w:firstLine="0" w:firstLineChars="0"/>
              <w:rPr>
                <w:rFonts w:cs="Times New Roman"/>
                <w:sz w:val="28"/>
                <w:szCs w:val="28"/>
              </w:rPr>
            </w:pPr>
            <w:r>
              <w:rPr>
                <w:rFonts w:cs="Times New Roman"/>
                <w:sz w:val="28"/>
                <w:szCs w:val="28"/>
              </w:rPr>
              <w:t>8 通过建设生态驳岸优化岛陆水体景观。</w:t>
            </w:r>
          </w:p>
          <w:p>
            <w:pPr>
              <w:pStyle w:val="42"/>
              <w:spacing w:beforeLines="50" w:afterLines="50" w:line="300" w:lineRule="exact"/>
              <w:ind w:firstLine="0" w:firstLineChars="0"/>
              <w:rPr>
                <w:rFonts w:cs="Times New Roman"/>
                <w:sz w:val="28"/>
                <w:szCs w:val="28"/>
              </w:rPr>
            </w:pPr>
            <w:r>
              <w:rPr>
                <w:rFonts w:cs="Times New Roman"/>
                <w:sz w:val="28"/>
                <w:szCs w:val="28"/>
              </w:rPr>
              <w:t>9 结合地域历史文化特色建设岛陆建筑景观。</w:t>
            </w:r>
          </w:p>
          <w:p>
            <w:pPr>
              <w:pStyle w:val="42"/>
              <w:spacing w:beforeLines="50" w:afterLines="50" w:line="300" w:lineRule="exact"/>
              <w:ind w:firstLine="0" w:firstLineChars="0"/>
              <w:rPr>
                <w:rFonts w:cs="Times New Roman"/>
                <w:sz w:val="28"/>
                <w:szCs w:val="28"/>
              </w:rPr>
            </w:pPr>
            <w:r>
              <w:rPr>
                <w:rFonts w:cs="Times New Roman"/>
                <w:sz w:val="28"/>
                <w:szCs w:val="28"/>
              </w:rPr>
              <w:t>10通过模拟自然演替过程建设生态岛礁景观。</w:t>
            </w:r>
          </w:p>
        </w:tc>
      </w:tr>
    </w:tbl>
    <w:p>
      <w:pPr>
        <w:pStyle w:val="91"/>
        <w:widowControl w:val="0"/>
        <w:spacing w:line="600" w:lineRule="exact"/>
        <w:rPr>
          <w:rFonts w:ascii="Times New Roman" w:hAnsi="Times New Roman" w:cs="Times New Roman"/>
        </w:rPr>
      </w:pPr>
      <w:r>
        <w:rPr>
          <w:rFonts w:ascii="Times New Roman" w:hAnsi="Times New Roman" w:cs="Times New Roman"/>
        </w:rPr>
        <w:t>5.协调海岛旅游开发与生态保护</w:t>
      </w:r>
    </w:p>
    <w:p>
      <w:pPr>
        <w:pStyle w:val="42"/>
        <w:spacing w:line="620" w:lineRule="exact"/>
        <w:rPr>
          <w:rFonts w:cs="Times New Roman"/>
        </w:rPr>
      </w:pPr>
      <w:r>
        <w:rPr>
          <w:rFonts w:cs="Times New Roman"/>
        </w:rPr>
        <w:t>认真处理旅游开发与生态保护之间的关系，严格按照相关标准与规划对建设区域进行开发控制，降低对海岛的生态影响。明确海岛的功能主题，避免重复建设、资源浪费与恶性竞争。大力发展海底观光、湿地观光、生态养生、休闲海钓、海底探险等泛生态旅游产品。倡导生态低碳交通，降低人为影响。严格按照相关管理与规划，规范在海岛海滩及沙丘上的开发行为，增加公众接近海岛海滩的机会，禁止在海岛海岸带退缩线进行任何开发。</w:t>
      </w:r>
    </w:p>
    <w:p>
      <w:pPr>
        <w:pStyle w:val="91"/>
        <w:widowControl w:val="0"/>
        <w:spacing w:line="620" w:lineRule="exact"/>
        <w:rPr>
          <w:rFonts w:ascii="Times New Roman" w:hAnsi="Times New Roman" w:cs="Times New Roman"/>
        </w:rPr>
      </w:pPr>
      <w:r>
        <w:rPr>
          <w:rFonts w:ascii="Times New Roman" w:hAnsi="Times New Roman" w:cs="Times New Roman"/>
        </w:rPr>
        <w:t>6.加强海岛先进生态技术应用</w:t>
      </w:r>
    </w:p>
    <w:p>
      <w:pPr>
        <w:pStyle w:val="42"/>
        <w:spacing w:line="620" w:lineRule="exact"/>
        <w:rPr>
          <w:rFonts w:cs="Times New Roman"/>
        </w:rPr>
      </w:pPr>
      <w:r>
        <w:rPr>
          <w:rFonts w:cs="Times New Roman"/>
        </w:rPr>
        <w:t>探索生态化旅游用岛的开发模式，可以通过发展若干生态化开发示范基地或生态示范项目等途径，以点带面，形成环境友好、资源节约、景观和谐的旅游用岛模式。在旅游设施建设上，鼓励引进先进的低碳技术，充分利用太阳能、风能、地热能、海潮、降雨等天然资源，解决能源、照明、用水、通风等需求。有条件的无居民海岛可以结合海水资源利用、海洋能、风能、太阳能等发展科技示范与推广项目，暂时没有条件的无居民海岛要积极引进先进的生态技术，并开展海岛景观建造技术实验等，实现人海关系和谐。</w:t>
      </w:r>
    </w:p>
    <w:p>
      <w:pPr>
        <w:pStyle w:val="91"/>
        <w:widowControl w:val="0"/>
        <w:spacing w:line="620" w:lineRule="exact"/>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加强海岛污染防控</w:t>
      </w:r>
    </w:p>
    <w:p>
      <w:pPr>
        <w:pStyle w:val="42"/>
        <w:spacing w:line="620" w:lineRule="exact"/>
        <w:rPr>
          <w:rFonts w:cs="Times New Roman"/>
        </w:rPr>
      </w:pPr>
      <w:r>
        <w:rPr>
          <w:rFonts w:cs="Times New Roman"/>
        </w:rPr>
        <w:t>针对广东海岛可能遭受的各类污染，通过综合污水处理技术提高水体污染防控能力，通过限制排放、强化监管、植树造林等措施治理海岛大气污染，提倡固体废弃物的无害化与资源化处理，采用物理处理法、燃烧法等技术应对海洋石油污染突发事件。</w:t>
      </w:r>
    </w:p>
    <w:p>
      <w:pPr>
        <w:pStyle w:val="91"/>
        <w:widowControl w:val="0"/>
        <w:spacing w:line="600" w:lineRule="exact"/>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提升海岛防灾减灾能力</w:t>
      </w:r>
    </w:p>
    <w:p>
      <w:pPr>
        <w:pStyle w:val="42"/>
        <w:spacing w:line="600" w:lineRule="exact"/>
        <w:rPr>
          <w:rFonts w:cs="Times New Roman"/>
        </w:rPr>
      </w:pPr>
      <w:r>
        <w:rPr>
          <w:rFonts w:cs="Times New Roman"/>
        </w:rPr>
        <w:t>针对广东海岛可能发生的自然或人为灾害，通过智慧监控预警、防灾设施提升和应急预案制定、应急机制建立等措施提高对台风、洪涝、海啸等气象灾害的防御能力，通过隐患治理、植被修复等措施减少山体滑坡等地质灾害的发生，在重点区域开展海岛抗震安全示范工程建设，加强对海岛农林病虫害的监测与研究，通过控制污染减少赤潮等环境灾害的发生，以海岸带一体化管理模式加强海岸带综合防灾减灾能力。</w:t>
      </w:r>
    </w:p>
    <w:p>
      <w:pPr>
        <w:pStyle w:val="91"/>
        <w:widowControl w:val="0"/>
        <w:spacing w:line="600" w:lineRule="exact"/>
        <w:rPr>
          <w:rFonts w:ascii="Times New Roman" w:hAnsi="Times New Roman" w:cs="Times New Roman"/>
        </w:rPr>
      </w:pPr>
      <w:r>
        <w:rPr>
          <w:rFonts w:ascii="Times New Roman" w:hAnsi="Times New Roman" w:cs="Times New Roman"/>
        </w:rPr>
        <w:t>9.加强海岛立法与监管队伍建设</w:t>
      </w:r>
    </w:p>
    <w:p>
      <w:pPr>
        <w:pStyle w:val="42"/>
        <w:spacing w:line="600" w:lineRule="exact"/>
        <w:rPr>
          <w:rFonts w:cs="Times New Roman"/>
        </w:rPr>
      </w:pPr>
      <w:r>
        <w:rPr>
          <w:rFonts w:cs="Times New Roman"/>
        </w:rPr>
        <w:t>完善广东省海岛规划体系，推进海岛环境保护与利用，加强专门负责广东省海岛环境保护的管理机构，壮大广东省海岛环境保护技术支撑队伍，结合广东省旅游、环保产业政策性基金相关支持，加强组织领导建设，严格责任考核，强化监视监测，规范广东省海岛开发利用秩序，建设永久稳定的和谐全域海岛环境。</w:t>
      </w:r>
    </w:p>
    <w:p>
      <w:pPr>
        <w:pStyle w:val="4"/>
        <w:numPr>
          <w:ilvl w:val="0"/>
          <w:numId w:val="0"/>
        </w:numPr>
        <w:spacing w:line="600" w:lineRule="exact"/>
        <w:rPr>
          <w:rFonts w:ascii="Times New Roman" w:cs="Times New Roman"/>
        </w:rPr>
      </w:pPr>
      <w:bookmarkStart w:id="44" w:name="_Toc22649"/>
      <w:r>
        <w:rPr>
          <w:rFonts w:ascii="Times New Roman" w:cs="Times New Roman"/>
        </w:rPr>
        <w:t>（七）开放发展，联盟南海岛约世界</w:t>
      </w:r>
      <w:bookmarkEnd w:id="44"/>
    </w:p>
    <w:p>
      <w:pPr>
        <w:pStyle w:val="91"/>
        <w:widowControl w:val="0"/>
        <w:spacing w:line="600" w:lineRule="exact"/>
        <w:rPr>
          <w:rFonts w:ascii="Times New Roman" w:hAnsi="Times New Roman" w:cs="Times New Roman"/>
        </w:rPr>
      </w:pPr>
      <w:r>
        <w:rPr>
          <w:rFonts w:ascii="Times New Roman" w:hAnsi="Times New Roman" w:cs="Times New Roman"/>
        </w:rPr>
        <w:t>1.开放合作，共建南海旅游联盟</w:t>
      </w:r>
    </w:p>
    <w:p>
      <w:pPr>
        <w:pStyle w:val="100"/>
        <w:spacing w:line="600" w:lineRule="exact"/>
        <w:ind w:firstLine="616"/>
        <w:rPr>
          <w:b w:val="0"/>
          <w:spacing w:val="-6"/>
        </w:rPr>
      </w:pPr>
      <w:r>
        <w:rPr>
          <w:b w:val="0"/>
          <w:spacing w:val="-6"/>
        </w:rPr>
        <w:t>顺应我国经济深度融入世界经济的趋势，打造“南海旅游联盟”，构建广东更高层次的海岛旅游对外开放新格局。积极承担国际责任和义务，参与全球海岛旅游规则制定，提升我国海岛旅游的国际话语权和影响力，推动形成全球海岛旅游的“利益共同体”。</w:t>
      </w:r>
    </w:p>
    <w:p>
      <w:pPr>
        <w:pStyle w:val="37"/>
        <w:spacing w:line="600" w:lineRule="exact"/>
        <w:ind w:firstLine="518" w:firstLineChars="162"/>
        <w:rPr>
          <w:rFonts w:cs="Times New Roman"/>
        </w:rPr>
      </w:pPr>
      <w:r>
        <w:rPr>
          <w:rFonts w:cs="Times New Roman"/>
        </w:rPr>
        <w:t>加强与海南、广西、福建等周边省区的海岛旅游合作，实现海岛旅游的“四省连横”。充分发挥广东区位优势，积极与海南、广西、福建等周边省区开展海岛旅游合作，形成旅游线路互联、旅游产业链互补的合作态势。积极探索与广西共同开拓串联湛江旅游海岛与北海涠洲岛等岛屿的旅游合作。依托深厦动车和在建的广州至汕尾高铁，加快推进广州、惠州、汕尾等沿线城市海岛与福建厦门鼓浪屿的旅游合作。大力开展深圳与海南三亚、海口的邮轮合作。</w:t>
      </w:r>
    </w:p>
    <w:p>
      <w:pPr>
        <w:pStyle w:val="100"/>
        <w:spacing w:line="600" w:lineRule="exact"/>
        <w:ind w:firstLine="640"/>
        <w:rPr>
          <w:b w:val="0"/>
          <w:szCs w:val="32"/>
        </w:rPr>
      </w:pPr>
      <w:r>
        <w:rPr>
          <w:b w:val="0"/>
        </w:rPr>
        <w:t>深化与港澳海岛旅游合作，推进粤港澳区域海岛旅游一体化，打造世界级海岛旅游目的地。</w:t>
      </w:r>
      <w:r>
        <w:rPr>
          <w:b w:val="0"/>
          <w:szCs w:val="32"/>
        </w:rPr>
        <w:t>着力做好港澳旅游市场梯度开发，巩固老年市场，培育青少年潜在客源市场，持续实施港澳青少年赴广东及广东海岛的游学工程。借助香港积极打造多元旅游合作平台和国际旅游投资融资中心以及澳门建设世界旅游休闲中心的契机，积极推进粤港澳海岛旅游一体化进程，充分释放其辐射带动功能，扩大区域旅游合作范围，推进泛珠三角、粤港澳旅游区合作。</w:t>
      </w:r>
    </w:p>
    <w:p>
      <w:pPr>
        <w:pStyle w:val="100"/>
        <w:spacing w:line="560" w:lineRule="exact"/>
        <w:ind w:firstLine="640"/>
        <w:rPr>
          <w:b w:val="0"/>
        </w:rPr>
      </w:pPr>
      <w:r>
        <w:rPr>
          <w:b w:val="0"/>
          <w:szCs w:val="32"/>
        </w:rPr>
        <w:t>加强南海区域海岛旅游合作，拓展中国南海旅游精品邮轮线路，延展“海上丝路”沿线的旅游交流。</w:t>
      </w:r>
      <w:r>
        <w:rPr>
          <w:b w:val="0"/>
        </w:rPr>
        <w:t>积极探索与东盟各国港口城市的邮轮线路合作，形成中国南海海岛邮轮旅游品牌线路，推动21世纪海上丝绸之路邮轮合作。南海是世界排名第三的大海，拥有众多优质的自然海岛，这些海岛生态环境保护良好，是海洋经济发展与海岛开发的优势资源。依托南海优质的旅游资源，积极探索广东海岛与越南、菲律宾、印尼、新加坡等南海各国的旅游合作。发挥广东是中国南大门和中国最大侨乡的优势，依托“海上丝绸之路”建设，</w:t>
      </w:r>
      <w:r>
        <w:rPr>
          <w:b w:val="0"/>
          <w:szCs w:val="32"/>
        </w:rPr>
        <w:t>不断创新合作机制，深化合作层次，构建全球海岛旅游合作共赢旅游伙伴关系网络</w:t>
      </w:r>
      <w:r>
        <w:rPr>
          <w:b w:val="0"/>
        </w:rPr>
        <w:t>。</w:t>
      </w:r>
    </w:p>
    <w:p>
      <w:pPr>
        <w:pStyle w:val="91"/>
        <w:widowControl w:val="0"/>
        <w:spacing w:line="560" w:lineRule="exac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岛约世界，加强市场营销推广</w:t>
      </w:r>
    </w:p>
    <w:p>
      <w:pPr>
        <w:pStyle w:val="100"/>
        <w:spacing w:line="560" w:lineRule="exact"/>
        <w:ind w:firstLine="640"/>
        <w:rPr>
          <w:b w:val="0"/>
          <w:spacing w:val="-4"/>
        </w:rPr>
      </w:pPr>
      <w:r>
        <w:rPr>
          <w:b w:val="0"/>
        </w:rPr>
        <w:t>以“岛</w:t>
      </w:r>
      <w:r>
        <w:rPr>
          <w:b w:val="0"/>
          <w:spacing w:val="-4"/>
        </w:rPr>
        <w:t>约世界·醉美南粤”作为广东海岛旅游的主题形象，通过开发海岛旅游，让世界更加了解广东，领略南中国海的壮美。明确营销思路，成立专门机构组织营销，组建专业队伍实施营销，出台相关政策保障营销。创新营销途径，以新媒体营销、口碑营销和捆绑营销作为海岛旅游营销的主要途径；加强网络搜索营销，开展微电影营销，推动社区网站营销，发展官方微信营销和旅游网站营销，进而推动海岛与大陆捆绑营销，探索海岛与其他旅游资源捆绑营销。同时，加强旅行社营销，发展广告牌营销，培育电视/电影营销，拓展节事性营销，发展传统媒介营销等传统营销。</w:t>
      </w:r>
    </w:p>
    <w:p>
      <w:pPr>
        <w:pStyle w:val="4"/>
        <w:numPr>
          <w:ilvl w:val="0"/>
          <w:numId w:val="0"/>
        </w:numPr>
        <w:spacing w:line="560" w:lineRule="exact"/>
        <w:rPr>
          <w:rFonts w:ascii="Times New Roman" w:cs="Times New Roman"/>
        </w:rPr>
      </w:pPr>
      <w:bookmarkStart w:id="45" w:name="_Toc9950"/>
      <w:r>
        <w:rPr>
          <w:rFonts w:ascii="Times New Roman" w:cs="Times New Roman"/>
        </w:rPr>
        <w:t>（八）共享发展，旅游富民海洋强国</w:t>
      </w:r>
      <w:bookmarkEnd w:id="45"/>
    </w:p>
    <w:p>
      <w:pPr>
        <w:pStyle w:val="91"/>
        <w:widowControl w:val="0"/>
        <w:spacing w:line="560" w:lineRule="exact"/>
        <w:rPr>
          <w:rFonts w:ascii="Times New Roman" w:hAnsi="Times New Roman" w:cs="Times New Roman"/>
        </w:rPr>
      </w:pPr>
      <w:r>
        <w:rPr>
          <w:rFonts w:ascii="Times New Roman" w:hAnsi="Times New Roman" w:cs="Times New Roman"/>
        </w:rPr>
        <w:t>1.加快旅游发展带动就业，增加海岛居民收入</w:t>
      </w:r>
    </w:p>
    <w:p>
      <w:pPr>
        <w:spacing w:line="560" w:lineRule="exact"/>
        <w:ind w:firstLine="640"/>
      </w:pPr>
      <w:r>
        <w:t>海岛旅游的发展将在食住行游购娱等多行业创造一批新的就业机会，优先吸纳当地居民参与旅游服务，直接增加其收入。注重旅游与其他产业的协同发展，发挥“扩散效应”，以旅游产业为导向，建立海岛渔业、加工业、物流业等相关产业之间的联动机制，间接创造更多就业岗位，取得更大扶贫富民效益。</w:t>
      </w:r>
    </w:p>
    <w:p>
      <w:pPr>
        <w:pStyle w:val="91"/>
        <w:widowControl w:val="0"/>
        <w:spacing w:line="560" w:lineRule="exact"/>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鼓励海岛土地流转，增加海岛居民资产性收入</w:t>
      </w:r>
    </w:p>
    <w:p>
      <w:pPr>
        <w:spacing w:line="560" w:lineRule="exact"/>
        <w:ind w:firstLine="640"/>
      </w:pPr>
      <w:r>
        <w:t>鼓励海岛居民进行闲置土地的流转，提升海岛土地利用价值，加快海岛产业结构优化。海岛居民可以通过转让土地使用权取得收入，将土地出租后取得的租金收入，将土地入股后取得的分红收入，以及土地规模化流转后，农民参与规模化经营取得的佣金收入等多种手段取得土地流转收益及相关收益。</w:t>
      </w:r>
    </w:p>
    <w:p>
      <w:pPr>
        <w:pStyle w:val="91"/>
        <w:widowControl w:val="0"/>
        <w:spacing w:line="560" w:lineRule="exac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引导开发旅游商品，提升海产品附加值与产业延伸</w:t>
      </w:r>
    </w:p>
    <w:p>
      <w:pPr>
        <w:spacing w:line="560" w:lineRule="exact"/>
        <w:ind w:firstLine="640"/>
      </w:pPr>
      <w:r>
        <w:t>通过规模收购集中加工、社区集体产业加工以及家庭作坊等形式，引导海岛渔民将海产品由鲜活产品和冻品干品为主的初加工产品向游客更喜爱更便携的深精加工及综合利用产品转化。开发脱脂鱼、鱼糜制品、鱼扒等水产食品以及鱼油等海洋保健产品，并通过电商邮寄、旅交会推介等向游客销售，提高水产品的附加值，增加海岛渔民收入，促进产业发展延伸。</w:t>
      </w:r>
    </w:p>
    <w:p>
      <w:pPr>
        <w:pStyle w:val="91"/>
        <w:widowControl w:val="0"/>
        <w:spacing w:line="600" w:lineRule="exact"/>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强化蓝色国土意识，切实维护海洋权益</w:t>
      </w:r>
    </w:p>
    <w:p>
      <w:pPr>
        <w:spacing w:line="600" w:lineRule="exact"/>
        <w:ind w:firstLine="640"/>
      </w:pPr>
      <w:r>
        <w:t>切实维护海洋权益，以海岛旅游为带动，强化国民蓝色国土意识和海洋维权意识。积极推进海洋管理体制机制创新，统筹推进海洋行政管理、执法队伍、技术支持、决策咨询、公共服务等方面能力建设，加快构建集监管立体化、执法规范化、管理信息化、反应快速化于一体的现代海洋管理体系，建设我国实施海洋综合管理的示范区。</w:t>
      </w:r>
    </w:p>
    <w:p>
      <w:pPr>
        <w:pStyle w:val="91"/>
        <w:widowControl w:val="0"/>
        <w:spacing w:line="600" w:lineRule="exact"/>
        <w:rPr>
          <w:rFonts w:ascii="Times New Roman" w:hAnsi="Times New Roman" w:cs="Times New Roman"/>
        </w:rPr>
      </w:pPr>
      <w:r>
        <w:rPr>
          <w:rFonts w:ascii="Times New Roman" w:hAnsi="Times New Roman" w:cs="Times New Roman"/>
        </w:rPr>
        <w:t>5.带动海洋文明建设，落实海洋强国战略</w:t>
      </w:r>
    </w:p>
    <w:p>
      <w:pPr>
        <w:spacing w:line="600" w:lineRule="exact"/>
        <w:ind w:firstLine="640"/>
      </w:pPr>
      <w:r>
        <w:t>以海岛旅游为带动，推动广东海洋生态保护、海洋资源开发、海洋经济发展、海洋科技创新、海洋生态文明建设。进一步拓展广东的蓝色发展空间，使海岛旅游发展成为建设海洋强国的重要动力。推动海洋生态保护，形成生态和谐、环境清洁的海洋环境；加快海洋资源开发，促进海岛、海岸、海洋旅游资源的节约利用和高效开发；带动海洋经济发展，拓展海洋旅游产业发展空间，加快广东海洋经济强省的建设步伐；提升海洋科技创新，把握海岛旅游契机，推动高精尖海洋科技发展；建设海洋生态文明，海岛旅游发展应坚持“五个用海”的要求，规划用海、集约用海、生态用海、科技用海、依法用海。</w:t>
      </w:r>
    </w:p>
    <w:p>
      <w:pPr>
        <w:pStyle w:val="88"/>
        <w:numPr>
          <w:ilvl w:val="0"/>
          <w:numId w:val="0"/>
        </w:numPr>
        <w:spacing w:line="600" w:lineRule="exact"/>
        <w:rPr>
          <w:rFonts w:ascii="Times New Roman" w:hAnsi="Times New Roman" w:cs="Times New Roman"/>
        </w:rPr>
      </w:pPr>
      <w:bookmarkStart w:id="46" w:name="_Toc21334"/>
      <w:r>
        <w:rPr>
          <w:rFonts w:ascii="Times New Roman" w:hAnsi="Times New Roman" w:cs="Times New Roman"/>
        </w:rPr>
        <w:t>五、保障措施</w:t>
      </w:r>
      <w:bookmarkEnd w:id="46"/>
    </w:p>
    <w:p>
      <w:pPr>
        <w:pStyle w:val="4"/>
        <w:numPr>
          <w:ilvl w:val="0"/>
          <w:numId w:val="0"/>
        </w:numPr>
        <w:spacing w:line="600" w:lineRule="exact"/>
        <w:rPr>
          <w:rFonts w:ascii="Times New Roman" w:cs="Times New Roman"/>
        </w:rPr>
      </w:pPr>
      <w:bookmarkStart w:id="47" w:name="_Toc467495375"/>
      <w:bookmarkStart w:id="48" w:name="_Toc2599"/>
      <w:r>
        <w:rPr>
          <w:rFonts w:ascii="Times New Roman" w:cs="Times New Roman"/>
        </w:rPr>
        <w:t>（一）创新机制体制</w:t>
      </w:r>
      <w:bookmarkEnd w:id="47"/>
      <w:bookmarkEnd w:id="48"/>
    </w:p>
    <w:p>
      <w:pPr>
        <w:spacing w:line="600" w:lineRule="exact"/>
        <w:ind w:firstLine="640"/>
      </w:pPr>
      <w:r>
        <w:t>全面推进海岛保护与利用管理体系建设，形成一个机构、两大支撑、三大平台、四大体系。一个机构，成立海岛保护与利用协调机构。由广东省海洋与渔业厅牵头，联合各相关主管部门，形成海岛保护与利用联席会议制度，全面统筹海岛保护管理、旅游开发、运营维护等相关事宜，为海岛开发提供一站式统筹管理服务，设置海岛开发评审委员会和海岛旅游业专家智库两个辅助机构，借力外脑智囊资源加速海岛旅游快速发展。两大支撑，成立海岛旅游开发产业联盟，充分发挥国有企业的作用。海岛旅游开发产业联盟是海岛旅游开发第一资源的整合平台，是一个智慧旅游规划、投资、建设、运营和服务的一体化平台；可负责海岛开发的技术标准及评价、质量认证体系，以及监管协调、规划咨询、产业研究、招商引资、融投资等方面事宜；充分发挥国有企业作用，鼓励国有企业投资海岛旅游开发，负责对海岛基础设施项目和战略项目的投资、开发、运营和管理。三大平台，搭建海岛旅游开发投资平台、服务平台和管理平台。投资平台主要针对海岛旅游开发的开发投资与融资环节，充分发挥广东省旅游、环保产业政策性基金等作用支持产业发展；服务平台主要针对海岛旅游开发的立项申报、审核批复、运营管理和招商引资，设置海岛旅游开发一站式服务窗口；管理平台主要针对海岛旅游开发的资源监测、开发协调、日常管理和规划控制等工作，设置海岛旅游开发综合服务管理窗口。四大体系，完善政策体系、管理体系、运作体系、保障体系。依据上位法要求建设完善海岛旅游开发的政策体系，重点推进政策制定、规划立法、拍卖转让、开发建设与运营管理内容；多层次多维度完善管理体系，明确行政体制和市场体制；依法依规完善运作体系，重点完善立项依据、行政报批、市场监管、秩序维护、执法程序等内容；完善保障体系为海岛开发保驾护航，突出政策保障、权益保障、安全保障、维稳保障、风险防御及相关支持与保障措施。</w:t>
      </w:r>
    </w:p>
    <w:p>
      <w:pPr>
        <w:spacing w:line="600" w:lineRule="exact"/>
        <w:ind w:firstLine="640"/>
      </w:pPr>
      <w:r>
        <w:t>大力推进市场主导开发模式，积极探索政府引导开发模式。鼓励推动社会资本参与海岛旅游项目开发，通过经营权的转让或出租，将海岛旅游资源的开发运营交由社会资本，促进资源与资本的合理配置。针对海岛开发重大基础设施项目，以及投资规模大、开发难度大、回收期长、风险大的战略性项目，发挥政府资源整合能力，采用PPP模式，引入市场资本与国有资产合作，加强政府对重要资源、重点领域及核心信息的控制。</w:t>
      </w:r>
    </w:p>
    <w:p>
      <w:pPr>
        <w:pStyle w:val="4"/>
        <w:numPr>
          <w:ilvl w:val="0"/>
          <w:numId w:val="0"/>
        </w:numPr>
        <w:spacing w:line="600" w:lineRule="exact"/>
        <w:rPr>
          <w:rFonts w:ascii="Times New Roman" w:cs="Times New Roman"/>
        </w:rPr>
      </w:pPr>
      <w:bookmarkStart w:id="49" w:name="_Toc26484"/>
      <w:r>
        <w:rPr>
          <w:rFonts w:ascii="Times New Roman" w:cs="Times New Roman"/>
        </w:rPr>
        <w:t>（二）深化行业改革</w:t>
      </w:r>
      <w:bookmarkEnd w:id="49"/>
    </w:p>
    <w:p>
      <w:pPr>
        <w:spacing w:line="600" w:lineRule="exact"/>
        <w:ind w:firstLine="640"/>
      </w:pPr>
      <w:r>
        <w:t>提高海岛旅游市场化水平。进一步简政放权，使市场在海岛资源配置中起决定性作用。发挥各类旅游行业组织在优化资源配置、履行社会责任、强化行业自律和创新旅游管理等方面的作用。</w:t>
      </w:r>
    </w:p>
    <w:p>
      <w:pPr>
        <w:spacing w:line="600" w:lineRule="exact"/>
        <w:ind w:firstLine="640"/>
      </w:pPr>
      <w:r>
        <w:t>推进海岛规划编制方式改革。鼓励条件成熟的单个海岛进行旅游相关规划编制，积极探索单岛旅游规划编制方法，通过科学规划，构建科学完善的海岛旅游发展路径。</w:t>
      </w:r>
    </w:p>
    <w:p>
      <w:pPr>
        <w:spacing w:line="600" w:lineRule="exact"/>
        <w:ind w:firstLine="640"/>
      </w:pPr>
      <w:r>
        <w:t>建立完善海岛旅游市场监管。根据《国务院办公厅关于加强旅游市场综合监管的通知》以及海岛保护利用的相关要求，创新海岛旅游市场监管机制。</w:t>
      </w:r>
    </w:p>
    <w:p>
      <w:pPr>
        <w:pStyle w:val="4"/>
        <w:numPr>
          <w:ilvl w:val="0"/>
          <w:numId w:val="0"/>
        </w:numPr>
        <w:tabs>
          <w:tab w:val="left" w:pos="993"/>
        </w:tabs>
        <w:spacing w:line="600" w:lineRule="exact"/>
        <w:rPr>
          <w:rFonts w:ascii="Times New Roman" w:cs="Times New Roman"/>
        </w:rPr>
      </w:pPr>
      <w:bookmarkStart w:id="50" w:name="_Toc26366"/>
      <w:r>
        <w:rPr>
          <w:rFonts w:ascii="Times New Roman" w:cs="Times New Roman"/>
        </w:rPr>
        <w:t>（三）强化法制建设</w:t>
      </w:r>
      <w:bookmarkEnd w:id="50"/>
    </w:p>
    <w:p>
      <w:pPr>
        <w:spacing w:line="600" w:lineRule="exact"/>
        <w:ind w:firstLine="640"/>
      </w:pPr>
      <w:r>
        <w:t>完善海岛旅游政策法规。扎实推进海岛旅游安全管理、旅游品质提升、旅游规范经营、旅游宣传推广、旅游人才教育培养等方面政策法规体系建设。</w:t>
      </w:r>
    </w:p>
    <w:p>
      <w:pPr>
        <w:spacing w:line="600" w:lineRule="exact"/>
        <w:ind w:firstLine="640"/>
      </w:pPr>
      <w:r>
        <w:t>强化旅游依法治理。借鉴陆地旅游法治方法经验，积极推进依法兴旅、依法治旅工作，推进海岛游客依法维权，相关企业守法经营，增强旅游市场主体与参与者的整体法制观念，提升全行业的法治水平。</w:t>
      </w:r>
    </w:p>
    <w:p>
      <w:pPr>
        <w:spacing w:line="600" w:lineRule="exact"/>
        <w:ind w:firstLine="640"/>
      </w:pPr>
      <w:r>
        <w:t>强化旅游纠纷化解。在重点海岛、重点海岛类景区相对集中的地级市设立旅游纠纷审判法庭和人民调解委员会，及时化解矛盾及旅游纠纷，维护游客合法权益。完善12301旅游投诉统一管理平台建设，提升投诉纠纷的处理能力。</w:t>
      </w:r>
    </w:p>
    <w:p>
      <w:pPr>
        <w:spacing w:line="600" w:lineRule="exact"/>
        <w:ind w:firstLine="640"/>
      </w:pPr>
      <w:r>
        <w:t>强化旅游行政执法。强化海岛旅游市场综合监管，在成熟的海岛旅游目的地试点地区成立旅游管理队伍，专门负责旅游市场管理问题。完善旅游市场联合执法机制，保障旅游者、旅游经营者和旅游从业人员的合法权益，提升旅游服务质量和游客满意度。</w:t>
      </w:r>
    </w:p>
    <w:p>
      <w:pPr>
        <w:pStyle w:val="4"/>
        <w:numPr>
          <w:ilvl w:val="0"/>
          <w:numId w:val="0"/>
        </w:numPr>
        <w:spacing w:line="600" w:lineRule="exact"/>
        <w:rPr>
          <w:rFonts w:ascii="Times New Roman" w:cs="Times New Roman"/>
        </w:rPr>
      </w:pPr>
      <w:bookmarkStart w:id="51" w:name="_Toc3068"/>
      <w:r>
        <w:rPr>
          <w:rFonts w:ascii="Times New Roman" w:cs="Times New Roman"/>
        </w:rPr>
        <w:t>（四）加强安全监管</w:t>
      </w:r>
      <w:bookmarkEnd w:id="51"/>
    </w:p>
    <w:p>
      <w:pPr>
        <w:spacing w:line="600" w:lineRule="exact"/>
        <w:ind w:firstLine="640"/>
      </w:pPr>
      <w:r>
        <w:t>建立齐抓共管的海岛旅游安全长效监管机制。以《旅游法》和《旅游安全管理办法》为依据，深入贯彻实施《广东省旅游条例》，联合多个政府职能部门及涉岛、涉海、涉船相关单位，着力建立多方共同参与的海岛旅游安全协作机制。明确海岛旅游安全责任，建立健全“政府统一领导、部门依法监管、企业主体负责”的海岛旅游安全责任体系。</w:t>
      </w:r>
    </w:p>
    <w:p>
      <w:pPr>
        <w:spacing w:line="600" w:lineRule="exact"/>
        <w:ind w:firstLine="640"/>
      </w:pPr>
      <w:r>
        <w:t>加强旅游海岛的安全信息、交通信息、突发事件和自然灾害等相关公共信息发布。高度重视台风、洪涝、海啸、高温、雷电、强降雨等灾害天气对海岛旅游的影响，做好灾害性天气监测预警和风险提示。及时将气象、三防等部门发布的预警信息传达给旅游经营单位和游客。</w:t>
      </w:r>
    </w:p>
    <w:p>
      <w:pPr>
        <w:spacing w:line="600" w:lineRule="exact"/>
        <w:ind w:firstLine="640"/>
      </w:pPr>
      <w:r>
        <w:t>强化重点领域和环节的安全监管。强化水上交通安全监管，防范水上交通安全事故、船舶污染事故的发生。推进旅游航船信息化、智能化管理，实行联网联控、动态监测。强化高峰期安全监管，加强对海岛旅游节庆活动现场与海岛客流高峰期人流管控，建立常态化的旅游高峰预警机制建设。强化隐患排查治理，定期全面开展安全生产隐患排查治理，严防灾害性天气引发的生产安全事故及相关次生事故。加强旅游经营场所消防等安全基础设施建设，落实企业安全生产主体责任。</w:t>
      </w:r>
    </w:p>
    <w:p>
      <w:pPr>
        <w:spacing w:line="600" w:lineRule="exact"/>
        <w:ind w:firstLine="640"/>
      </w:pPr>
      <w:r>
        <w:t>制定海岛旅游安全应急预案，强化各项应急防御措施，定期组织开展海上旅游安全应急救援培训与演练。推动建立政府救助与商业救援相结合的海岛旅游紧急救援体系。加强海岛旅游安全应急值守和信息上报。落实旅游安全应急值守工作责任制，加强值班人员的教育培训和业务指导，确保及时妥善应对和处理各类旅游安全突发事件。</w:t>
      </w:r>
    </w:p>
    <w:p>
      <w:pPr>
        <w:spacing w:line="600" w:lineRule="exact"/>
        <w:ind w:firstLine="640"/>
      </w:pPr>
      <w:r>
        <w:t>加强海岛旅游安全宣传，强化海岛旅游经营者和游客的旅游安全意识，提高旅游安全应急能力。定期对海岛旅游经营者进行旅游安全培训，建立海岛旅游安全知识授课专家库，开展形式多样的安全宣传教育活动，向游客普及海岛旅游知识，提升游客自救能力。</w:t>
      </w:r>
    </w:p>
    <w:p>
      <w:pPr>
        <w:pStyle w:val="4"/>
        <w:numPr>
          <w:ilvl w:val="0"/>
          <w:numId w:val="0"/>
        </w:numPr>
        <w:spacing w:line="600" w:lineRule="exact"/>
        <w:rPr>
          <w:rFonts w:ascii="Times New Roman" w:cs="Times New Roman"/>
        </w:rPr>
      </w:pPr>
      <w:bookmarkStart w:id="52" w:name="_Toc13410"/>
      <w:r>
        <w:rPr>
          <w:rFonts w:ascii="Times New Roman" w:cs="Times New Roman"/>
        </w:rPr>
        <w:t>（五）落实扶持政策</w:t>
      </w:r>
      <w:bookmarkEnd w:id="52"/>
    </w:p>
    <w:p>
      <w:pPr>
        <w:spacing w:line="600" w:lineRule="exact"/>
        <w:ind w:firstLine="640"/>
      </w:pPr>
      <w:r>
        <w:t>加大基础建设投入。加强推进落实市县政府在海岛旅游基础服务设施投入的主体责任，解决海岛旅游发展面临交通、市政、饮水等瓶颈问题，适当加大海岛旅游标识、旅游厕所、旅游信息化等方面的投入。加大项目资金引导力度，建立各级政府层面的海岛旅游项目库，积极申请国家对生态岛礁、海洋牧场服务业、中小企业和节能减排等专项资金。</w:t>
      </w:r>
    </w:p>
    <w:p>
      <w:pPr>
        <w:spacing w:line="600" w:lineRule="exact"/>
        <w:ind w:firstLine="640"/>
      </w:pPr>
      <w:r>
        <w:t>拓宽市场融投资渠道。鼓励旅游企业通过发行股票、发行债券和私募股权等方式筹措海岛旅游发展资金；积极引导民间资本、境外资本投入海岛旅游发展，鼓励通过政府与社会资本合作模式（PPP）参与政府主导的海岛旅游基础设施建设。</w:t>
      </w:r>
    </w:p>
    <w:p>
      <w:pPr>
        <w:spacing w:line="600" w:lineRule="exact"/>
        <w:ind w:firstLine="640"/>
      </w:pPr>
      <w:r>
        <w:t>落实财税扶持政策。积极利用与海岛保护和海岛旅游发展相关的各类财税政策，如海岛开发补贴政策、小微企业增值税优惠政策、水电气价格政策、境外旅客购物离境退税政策等。</w:t>
      </w:r>
    </w:p>
    <w:p>
      <w:pPr>
        <w:spacing w:line="600" w:lineRule="exact"/>
        <w:ind w:firstLine="640"/>
      </w:pPr>
      <w:r>
        <w:t>探索用地创新政策改革。积极探索海岛旅游发展用地改革路径和创新模式，努力实现海岛旅游发展在海岛权属、海岛出让、海岛集约用海与节约利用等方面的新突破。对使用荒山、荒地、荒滩及边远海岛土地建设的旅游项目，优先安排新增建设用地计划指标。涉及使用林地和采伐林木的，用地申请人应先行依法办理使用林地和采伐林木许可手续；涉及征占用湿地的，应依法办理征占用手续，并按照占补平衡的原则，在湿地保护有关部门指定的地点恢复同等面积和功能的湿地。</w:t>
      </w:r>
    </w:p>
    <w:p>
      <w:pPr>
        <w:pStyle w:val="4"/>
        <w:numPr>
          <w:ilvl w:val="0"/>
          <w:numId w:val="0"/>
        </w:numPr>
        <w:spacing w:line="600" w:lineRule="exact"/>
        <w:rPr>
          <w:rFonts w:ascii="Times New Roman" w:cs="Times New Roman"/>
        </w:rPr>
      </w:pPr>
      <w:bookmarkStart w:id="53" w:name="_Toc11904"/>
      <w:r>
        <w:rPr>
          <w:rFonts w:ascii="Times New Roman" w:cs="Times New Roman"/>
        </w:rPr>
        <w:t>（六）近期行动计划</w:t>
      </w:r>
      <w:bookmarkEnd w:id="53"/>
    </w:p>
    <w:p>
      <w:pPr>
        <w:pStyle w:val="91"/>
        <w:widowControl w:val="0"/>
        <w:spacing w:line="600" w:lineRule="exact"/>
        <w:rPr>
          <w:rFonts w:ascii="Times New Roman" w:hAnsi="Times New Roman" w:cs="Times New Roman"/>
        </w:rPr>
      </w:pPr>
      <w:r>
        <w:rPr>
          <w:rFonts w:ascii="Times New Roman" w:hAnsi="Times New Roman" w:cs="Times New Roman"/>
        </w:rPr>
        <w:t>1.旅游基础设施建设</w:t>
      </w:r>
    </w:p>
    <w:p>
      <w:pPr>
        <w:pStyle w:val="42"/>
        <w:spacing w:line="600" w:lineRule="exact"/>
        <w:rPr>
          <w:rFonts w:cs="Times New Roman"/>
        </w:rPr>
      </w:pPr>
      <w:r>
        <w:rPr>
          <w:rFonts w:cs="Times New Roman"/>
        </w:rPr>
        <w:t>推进三级陆域及海域桥头堡建设。</w:t>
      </w:r>
      <w:r>
        <w:rPr>
          <w:rFonts w:cs="Times New Roman"/>
          <w:szCs w:val="24"/>
        </w:rPr>
        <w:t>完善旅游航线建设，并配套完善航线所需公共服务设施。</w:t>
      </w:r>
    </w:p>
    <w:p>
      <w:pPr>
        <w:pStyle w:val="91"/>
        <w:widowControl w:val="0"/>
        <w:spacing w:line="600" w:lineRule="exact"/>
        <w:rPr>
          <w:rFonts w:ascii="Times New Roman" w:hAnsi="Times New Roman" w:cs="Times New Roman"/>
        </w:rPr>
      </w:pPr>
      <w:r>
        <w:rPr>
          <w:rFonts w:ascii="Times New Roman" w:hAnsi="Times New Roman" w:cs="Times New Roman"/>
        </w:rPr>
        <w:t>2.近期可优先利用海岛</w:t>
      </w:r>
    </w:p>
    <w:p>
      <w:pPr>
        <w:pStyle w:val="42"/>
        <w:spacing w:line="600" w:lineRule="exact"/>
        <w:rPr>
          <w:rFonts w:cs="Times New Roman"/>
        </w:rPr>
      </w:pPr>
      <w:r>
        <w:rPr>
          <w:rFonts w:cs="Times New Roman"/>
          <w:szCs w:val="24"/>
        </w:rPr>
        <w:t>近期可优先利用5</w:t>
      </w:r>
      <w:r>
        <w:rPr>
          <w:rFonts w:eastAsia="宋体" w:cs="Times New Roman"/>
          <w:szCs w:val="24"/>
        </w:rPr>
        <w:t>0</w:t>
      </w:r>
      <w:r>
        <w:rPr>
          <w:rFonts w:cs="Times New Roman"/>
          <w:szCs w:val="24"/>
        </w:rPr>
        <w:t>个海岛</w:t>
      </w:r>
      <w:r>
        <w:rPr>
          <w:rFonts w:cs="Times New Roman"/>
        </w:rPr>
        <w:t>。</w:t>
      </w:r>
    </w:p>
    <w:tbl>
      <w:tblPr>
        <w:tblStyle w:val="35"/>
        <w:tblW w:w="9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835"/>
        <w:gridCol w:w="567"/>
        <w:gridCol w:w="2410"/>
        <w:gridCol w:w="567"/>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7" w:type="dxa"/>
            <w:gridSpan w:val="6"/>
            <w:vAlign w:val="top"/>
          </w:tcPr>
          <w:p>
            <w:pPr>
              <w:pStyle w:val="42"/>
              <w:spacing w:beforeLines="40" w:afterLines="40" w:line="300" w:lineRule="exact"/>
              <w:ind w:firstLine="0" w:firstLineChars="0"/>
              <w:jc w:val="center"/>
              <w:rPr>
                <w:rFonts w:cs="Times New Roman"/>
                <w:b/>
                <w:sz w:val="28"/>
                <w:szCs w:val="28"/>
              </w:rPr>
            </w:pPr>
            <w:r>
              <w:rPr>
                <w:rFonts w:cs="Times New Roman"/>
                <w:b/>
                <w:sz w:val="28"/>
                <w:szCs w:val="28"/>
              </w:rPr>
              <w:t>专栏4 50个可优先利用海岛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1</w:t>
            </w:r>
          </w:p>
        </w:tc>
        <w:tc>
          <w:tcPr>
            <w:tcW w:w="2835" w:type="dxa"/>
            <w:tcBorders>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广州海鸥岛</w:t>
            </w:r>
          </w:p>
        </w:tc>
        <w:tc>
          <w:tcPr>
            <w:tcW w:w="567" w:type="dxa"/>
            <w:tcBorders>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18</w:t>
            </w:r>
          </w:p>
        </w:tc>
        <w:tc>
          <w:tcPr>
            <w:tcW w:w="2410" w:type="dxa"/>
            <w:tcBorders>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珠海桂山岛（带动牛头岛）</w:t>
            </w:r>
          </w:p>
        </w:tc>
        <w:tc>
          <w:tcPr>
            <w:tcW w:w="567" w:type="dxa"/>
            <w:tcBorders>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35</w:t>
            </w:r>
          </w:p>
        </w:tc>
        <w:tc>
          <w:tcPr>
            <w:tcW w:w="2176" w:type="dxa"/>
            <w:tcBorders>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江门王府洲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2</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广州上横挡岛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19</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汕头南澳岛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36</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江门观鱼洲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广州下横挡岛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20</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汕头达濠岛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37</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江门坪洲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深圳赖氏洲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21</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汕头塔屿</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38</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阳江海陵岛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5</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深圳洲仔岛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22</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汕头猎屿</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39</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阳江南鹏岛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6</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珠海横琴岛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23</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汕头案屿</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40</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阳江大镬岛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7</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珠海大万山岛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24</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汕头官屿</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41</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阳江龟山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8</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珠海东澳岛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25</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汕头凤屿</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42</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阳江老鼠山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9</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珠海淇澳岛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26</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惠州惠东三角洲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43</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阳江三山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10</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珠海大九洲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27</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惠州大辣甲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44</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湛江南三岛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11</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珠海庙湾岛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28</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惠州小鹅洲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45</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湛江罗斗沙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12</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珠海外伶仃岛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29</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惠州鹅洲</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46</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湛江一墩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13</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珠海横山岛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30</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汕尾遮浪岩</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Autospacing="1" w:afterAutospacing="1" w:line="300" w:lineRule="exact"/>
              <w:ind w:firstLine="0" w:firstLineChars="0"/>
              <w:jc w:val="center"/>
              <w:rPr>
                <w:rFonts w:cs="Times New Roman"/>
                <w:sz w:val="28"/>
                <w:szCs w:val="28"/>
              </w:rPr>
            </w:pPr>
            <w:r>
              <w:rPr>
                <w:rFonts w:cs="Times New Roman"/>
                <w:sz w:val="28"/>
                <w:szCs w:val="28"/>
              </w:rPr>
              <w:t>47</w:t>
            </w:r>
          </w:p>
        </w:tc>
        <w:tc>
          <w:tcPr>
            <w:tcW w:w="2176" w:type="dxa"/>
            <w:tcBorders>
              <w:top w:val="single" w:color="FFFFFF" w:sz="4" w:space="0"/>
              <w:left w:val="single" w:color="FFFFFF" w:sz="4" w:space="0"/>
              <w:bottom w:val="single" w:color="FFFFFF" w:sz="4" w:space="0"/>
            </w:tcBorders>
            <w:vAlign w:val="top"/>
          </w:tcPr>
          <w:p>
            <w:pPr>
              <w:pStyle w:val="42"/>
              <w:spacing w:beforeAutospacing="1" w:afterAutospacing="1" w:line="300" w:lineRule="exact"/>
              <w:ind w:firstLine="0" w:firstLineChars="0"/>
              <w:jc w:val="left"/>
              <w:rPr>
                <w:rFonts w:cs="Times New Roman"/>
                <w:sz w:val="28"/>
                <w:szCs w:val="28"/>
              </w:rPr>
            </w:pPr>
            <w:r>
              <w:rPr>
                <w:rFonts w:cs="Times New Roman"/>
                <w:sz w:val="28"/>
                <w:szCs w:val="28"/>
              </w:rPr>
              <w:t>湛江赤豆寮岛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14</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珠海三门岛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31</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汕尾龟龄岛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48</w:t>
            </w:r>
          </w:p>
        </w:tc>
        <w:tc>
          <w:tcPr>
            <w:tcW w:w="2176" w:type="dxa"/>
            <w:tcBorders>
              <w:top w:val="single" w:color="FFFFFF" w:sz="4" w:space="0"/>
              <w:left w:val="single" w:color="FFFFFF" w:sz="4" w:space="0"/>
              <w:bottom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茂名放鸡岛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15</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珠海三角岛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32</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东莞威远岛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49</w:t>
            </w:r>
          </w:p>
        </w:tc>
        <w:tc>
          <w:tcPr>
            <w:tcW w:w="2176" w:type="dxa"/>
            <w:tcBorders>
              <w:top w:val="single" w:color="FFFFFF" w:sz="4" w:space="0"/>
              <w:left w:val="single" w:color="FFFFFF" w:sz="4" w:space="0"/>
              <w:bottom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潮州汛洲岛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16</w:t>
            </w:r>
          </w:p>
        </w:tc>
        <w:tc>
          <w:tcPr>
            <w:tcW w:w="2835"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珠海白沥岛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33</w:t>
            </w:r>
          </w:p>
        </w:tc>
        <w:tc>
          <w:tcPr>
            <w:tcW w:w="2410"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江门上川岛</w:t>
            </w:r>
          </w:p>
        </w:tc>
        <w:tc>
          <w:tcPr>
            <w:tcW w:w="567" w:type="dxa"/>
            <w:tcBorders>
              <w:top w:val="single" w:color="FFFFFF" w:sz="4" w:space="0"/>
              <w:left w:val="single" w:color="FFFFFF" w:sz="4" w:space="0"/>
              <w:bottom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50</w:t>
            </w:r>
          </w:p>
        </w:tc>
        <w:tc>
          <w:tcPr>
            <w:tcW w:w="2176" w:type="dxa"/>
            <w:tcBorders>
              <w:top w:val="single" w:color="FFFFFF" w:sz="4" w:space="0"/>
              <w:left w:val="single" w:color="FFFFFF" w:sz="4" w:space="0"/>
              <w:bottom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潮州海山岛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2" w:type="dxa"/>
            <w:tcBorders>
              <w:top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17</w:t>
            </w:r>
          </w:p>
        </w:tc>
        <w:tc>
          <w:tcPr>
            <w:tcW w:w="2835" w:type="dxa"/>
            <w:tcBorders>
              <w:top w:val="single" w:color="FFFFFF" w:sz="4" w:space="0"/>
              <w:left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珠海小万山岛</w:t>
            </w:r>
          </w:p>
        </w:tc>
        <w:tc>
          <w:tcPr>
            <w:tcW w:w="567" w:type="dxa"/>
            <w:tcBorders>
              <w:top w:val="single" w:color="FFFFFF" w:sz="4" w:space="0"/>
              <w:left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r>
              <w:rPr>
                <w:rFonts w:cs="Times New Roman"/>
                <w:sz w:val="28"/>
                <w:szCs w:val="28"/>
              </w:rPr>
              <w:t>34</w:t>
            </w:r>
          </w:p>
        </w:tc>
        <w:tc>
          <w:tcPr>
            <w:tcW w:w="2410" w:type="dxa"/>
            <w:tcBorders>
              <w:top w:val="single" w:color="FFFFFF" w:sz="4" w:space="0"/>
              <w:left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r>
              <w:rPr>
                <w:rFonts w:cs="Times New Roman"/>
                <w:sz w:val="28"/>
                <w:szCs w:val="28"/>
              </w:rPr>
              <w:t>江门下川岛</w:t>
            </w:r>
          </w:p>
        </w:tc>
        <w:tc>
          <w:tcPr>
            <w:tcW w:w="567" w:type="dxa"/>
            <w:tcBorders>
              <w:top w:val="single" w:color="FFFFFF" w:sz="4" w:space="0"/>
              <w:left w:val="single" w:color="FFFFFF" w:sz="4" w:space="0"/>
              <w:right w:val="single" w:color="FFFFFF" w:sz="4" w:space="0"/>
            </w:tcBorders>
            <w:vAlign w:val="top"/>
          </w:tcPr>
          <w:p>
            <w:pPr>
              <w:pStyle w:val="42"/>
              <w:spacing w:beforeLines="50" w:beforeAutospacing="1" w:afterLines="50" w:afterAutospacing="1" w:line="300" w:lineRule="exact"/>
              <w:ind w:firstLine="0" w:firstLineChars="0"/>
              <w:jc w:val="center"/>
              <w:rPr>
                <w:rFonts w:cs="Times New Roman"/>
                <w:sz w:val="28"/>
                <w:szCs w:val="28"/>
              </w:rPr>
            </w:pPr>
          </w:p>
        </w:tc>
        <w:tc>
          <w:tcPr>
            <w:tcW w:w="2176" w:type="dxa"/>
            <w:tcBorders>
              <w:top w:val="single" w:color="FFFFFF" w:sz="4" w:space="0"/>
              <w:left w:val="single" w:color="FFFFFF" w:sz="4" w:space="0"/>
            </w:tcBorders>
            <w:vAlign w:val="top"/>
          </w:tcPr>
          <w:p>
            <w:pPr>
              <w:pStyle w:val="42"/>
              <w:spacing w:beforeLines="50" w:beforeAutospacing="1" w:afterLines="50" w:afterAutospacing="1" w:line="300" w:lineRule="exact"/>
              <w:ind w:firstLine="0" w:firstLineChars="0"/>
              <w:jc w:val="left"/>
              <w:rPr>
                <w:rFonts w:cs="Times New Roman"/>
                <w:sz w:val="28"/>
                <w:szCs w:val="28"/>
              </w:rPr>
            </w:pPr>
          </w:p>
        </w:tc>
      </w:tr>
    </w:tbl>
    <w:p>
      <w:pPr>
        <w:pStyle w:val="91"/>
        <w:widowControl w:val="0"/>
        <w:numPr>
          <w:ilvl w:val="0"/>
          <w:numId w:val="8"/>
        </w:numPr>
        <w:rPr>
          <w:rFonts w:ascii="Times New Roman" w:hAnsi="Times New Roman" w:cs="Times New Roman"/>
        </w:rPr>
      </w:pPr>
      <w:r>
        <w:rPr>
          <w:rFonts w:ascii="Times New Roman" w:hAnsi="Times New Roman" w:cs="Times New Roman"/>
        </w:rPr>
        <w:t>海岛资源保护</w:t>
      </w:r>
    </w:p>
    <w:p>
      <w:pPr>
        <w:ind w:firstLine="640"/>
      </w:pPr>
      <w:r>
        <w:t>落实石碑山角、围夹岛、威远岛、南鹏岛、北莉岛、六极岛、南澳岛、硇州岛、放鸡岛、西澳岛、三角岛、龟龄岛等12个生态岛礁建设工程。建立完善的潮州海山岛海滩岩田地质遗迹保护体系和汕尾红海湾区礁盘生态保护体系。</w:t>
      </w:r>
    </w:p>
    <w:p>
      <w:pPr>
        <w:pStyle w:val="88"/>
        <w:numPr>
          <w:ilvl w:val="0"/>
          <w:numId w:val="0"/>
        </w:numPr>
        <w:ind w:left="6"/>
        <w:rPr>
          <w:rFonts w:ascii="Times New Roman" w:hAnsi="Times New Roman" w:cs="Times New Roman"/>
        </w:rPr>
      </w:pPr>
      <w:bookmarkStart w:id="54" w:name="_Toc31203"/>
      <w:r>
        <w:rPr>
          <w:rFonts w:ascii="Times New Roman" w:hAnsi="Times New Roman" w:cs="Times New Roman"/>
        </w:rPr>
        <w:t>六、环境影响评价</w:t>
      </w:r>
      <w:bookmarkEnd w:id="54"/>
    </w:p>
    <w:p>
      <w:pPr>
        <w:pStyle w:val="4"/>
        <w:numPr>
          <w:ilvl w:val="0"/>
          <w:numId w:val="0"/>
        </w:numPr>
        <w:ind w:left="84"/>
        <w:rPr>
          <w:rFonts w:ascii="Times New Roman" w:cs="Times New Roman"/>
        </w:rPr>
      </w:pPr>
      <w:bookmarkStart w:id="55" w:name="_Toc28533"/>
      <w:r>
        <w:rPr>
          <w:rFonts w:ascii="Times New Roman" w:cs="Times New Roman"/>
        </w:rPr>
        <w:t>（一）规划方案综合分析</w:t>
      </w:r>
      <w:bookmarkEnd w:id="55"/>
    </w:p>
    <w:p>
      <w:pPr>
        <w:pStyle w:val="91"/>
        <w:widowControl w:val="0"/>
        <w:rPr>
          <w:rFonts w:ascii="Times New Roman" w:hAnsi="Times New Roman" w:cs="Times New Roman"/>
        </w:rPr>
      </w:pPr>
      <w:r>
        <w:rPr>
          <w:rFonts w:ascii="Times New Roman" w:hAnsi="Times New Roman" w:cs="Times New Roman"/>
        </w:rPr>
        <w:t>1.与相关政策、规划的相容性分析</w:t>
      </w:r>
    </w:p>
    <w:p>
      <w:pPr>
        <w:ind w:firstLine="640"/>
      </w:pPr>
      <w:r>
        <w:t>《广东省海岛旅游发展总体规划（2016-2030）》在生态环境保护政策、海洋经济发展政策、旅游业发展政策等方面与国家及广东省的相关政策要求相符合。</w:t>
      </w:r>
    </w:p>
    <w:p>
      <w:pPr>
        <w:pStyle w:val="91"/>
        <w:widowControl w:val="0"/>
        <w:rPr>
          <w:rFonts w:ascii="Times New Roman" w:hAnsi="Times New Roman" w:cs="Times New Roman"/>
        </w:rPr>
      </w:pPr>
      <w:r>
        <w:rPr>
          <w:rFonts w:ascii="Times New Roman" w:hAnsi="Times New Roman" w:cs="Times New Roman"/>
        </w:rPr>
        <w:t>2.旅游配套产业体系合理性分析</w:t>
      </w:r>
    </w:p>
    <w:p>
      <w:pPr>
        <w:ind w:firstLine="640"/>
      </w:pPr>
      <w:r>
        <w:t>本规划在旅游住宿、智慧旅游、旅游交通设施布局等旅游服务设施建设进行了系统规划，提出优化旅游住宿设施的空间布局、档次结构和功能结构，提升旅游住宿业质量和特色，并在宏观层面提出建立与市场需求相适应、多层次多维度的住宿设施，发展海岛奢华精品度假设施、海岛度假酒店、海岛民宿等不同层次的海岛住宿产品，逐渐形成广东海岛住宿品牌；提出优化了岛陆交通联系，在全省交通规划的基础上对海岛旅游交通设施进行合理安排，并与广东省打造全球最长滨海旅游公路以及各市交通规划进行有效衔接。本规划中各海岛旅游服务设施的建设与沿海各城市总体规划相协调，符合城市总体布局。规划中旅游服务设施的建设符合全省旅游业发展要求，本规划提出改造与新建结合，充分利用原有设施，减少资源的消耗和浪费，有利于提升旅游接待能力，完善城市旅游服务功能。</w:t>
      </w:r>
    </w:p>
    <w:p>
      <w:pPr>
        <w:pStyle w:val="4"/>
        <w:numPr>
          <w:ilvl w:val="0"/>
          <w:numId w:val="0"/>
        </w:numPr>
        <w:ind w:left="142"/>
        <w:rPr>
          <w:rFonts w:ascii="Times New Roman" w:cs="Times New Roman"/>
        </w:rPr>
      </w:pPr>
      <w:bookmarkStart w:id="56" w:name="_Toc14526"/>
      <w:r>
        <w:rPr>
          <w:rFonts w:ascii="Times New Roman" w:cs="Times New Roman"/>
        </w:rPr>
        <w:t>（二）规划环境影响分析与评价</w:t>
      </w:r>
      <w:bookmarkEnd w:id="56"/>
    </w:p>
    <w:p>
      <w:pPr>
        <w:ind w:firstLine="640"/>
      </w:pPr>
      <w:r>
        <w:t>旅游业发展在加快经济发展、促进城市建设、树立开放形象、增加社会就业、弘扬传承文化等方面发挥着积极的作用，但也会对环境带来一定程度的不利影响。通过采取科学手段和措施加强环境保护，能够有效地减轻旅游开发对环境的不利影响。</w:t>
      </w:r>
    </w:p>
    <w:p>
      <w:pPr>
        <w:ind w:firstLine="640"/>
      </w:pPr>
      <w:r>
        <w:t>但过度旅游开发可能会对土壤、水、大气等生态环境造成不利影响，并对珍稀动植物资源、文化遗产保护等带来较大压力。</w:t>
      </w:r>
    </w:p>
    <w:p>
      <w:pPr>
        <w:ind w:firstLine="640"/>
      </w:pPr>
      <w:r>
        <w:t>为有效避免或降低旅游对环境与资源的干扰或污染，促进旅游规划实施的社会、经济与环境效益相协调，本规划环境影响评价章节依据《中华人民共和国环境影响评价法》、《规划环境影响评价条例》、《广东省环境保护条例》等相关法律法规及要求编制，提升本规划的环境合理性和决策科学性。</w:t>
      </w:r>
    </w:p>
    <w:p>
      <w:pPr>
        <w:pStyle w:val="4"/>
        <w:numPr>
          <w:ilvl w:val="0"/>
          <w:numId w:val="0"/>
        </w:numPr>
        <w:ind w:left="142"/>
        <w:rPr>
          <w:rFonts w:ascii="Times New Roman" w:cs="Times New Roman"/>
        </w:rPr>
      </w:pPr>
      <w:bookmarkStart w:id="57" w:name="_Toc2898"/>
      <w:r>
        <w:rPr>
          <w:rFonts w:ascii="Times New Roman" w:cs="Times New Roman"/>
        </w:rPr>
        <w:t>（三）规划环境影响的减缓措施</w:t>
      </w:r>
      <w:bookmarkEnd w:id="57"/>
    </w:p>
    <w:p>
      <w:pPr>
        <w:ind w:firstLine="640"/>
      </w:pPr>
      <w:r>
        <w:t>强化对重大旅游项目开发建设的环境保护措施。严格执行环境影响评价制度，严格落实国家生态红线的管控要求，开展旅游规划环评和旅游项目环评。加强对旅游者的环境保护教育，提高其环境保护意识。推动与国家海洋局及南海周边国家地区环境保护合作，示范引领绿色“一带一路”海上合作。加强对珠江口地区海岛周边海域进行重点环境监控，结合海岛生态旅游促进海岛生态修复。</w:t>
      </w:r>
    </w:p>
    <w:p>
      <w:pPr>
        <w:ind w:firstLine="640"/>
      </w:pPr>
    </w:p>
    <w:p>
      <w:pPr>
        <w:ind w:firstLine="640"/>
      </w:pPr>
    </w:p>
    <w:p>
      <w:pPr>
        <w:pStyle w:val="93"/>
        <w:spacing w:before="0"/>
        <w:ind w:left="0"/>
        <w:rPr>
          <w:rFonts w:ascii="Times New Roman" w:hAnsi="Times New Roman" w:cs="Times New Roman"/>
        </w:rPr>
      </w:pPr>
      <w:bookmarkStart w:id="58" w:name="_Toc17146"/>
      <w:r>
        <w:rPr>
          <w:rFonts w:ascii="Times New Roman" w:hAnsi="Times New Roman" w:cs="Times New Roman"/>
        </w:rPr>
        <w:t>附表1：广东海岛旅游发展指引一览表（有居民海岛）</w:t>
      </w:r>
      <w:bookmarkEnd w:id="58"/>
    </w:p>
    <w:tbl>
      <w:tblPr>
        <w:tblStyle w:val="35"/>
        <w:tblW w:w="1035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9"/>
        <w:gridCol w:w="1079"/>
        <w:gridCol w:w="976"/>
        <w:gridCol w:w="417"/>
        <w:gridCol w:w="417"/>
        <w:gridCol w:w="417"/>
        <w:gridCol w:w="411"/>
        <w:gridCol w:w="6"/>
        <w:gridCol w:w="417"/>
        <w:gridCol w:w="417"/>
        <w:gridCol w:w="417"/>
        <w:gridCol w:w="417"/>
        <w:gridCol w:w="417"/>
        <w:gridCol w:w="417"/>
        <w:gridCol w:w="417"/>
        <w:gridCol w:w="417"/>
        <w:gridCol w:w="417"/>
        <w:gridCol w:w="417"/>
        <w:gridCol w:w="423"/>
        <w:gridCol w:w="405"/>
        <w:gridCol w:w="612"/>
        <w:gridCol w:w="5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83" w:hRule="atLeast"/>
          <w:tblHeader/>
          <w:jc w:val="center"/>
        </w:trPr>
        <w:tc>
          <w:tcPr>
            <w:tcW w:w="469"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城市</w:t>
            </w:r>
          </w:p>
        </w:tc>
        <w:tc>
          <w:tcPr>
            <w:tcW w:w="1079" w:type="dxa"/>
            <w:vMerge w:val="restart"/>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名称</w:t>
            </w:r>
          </w:p>
        </w:tc>
        <w:tc>
          <w:tcPr>
            <w:tcW w:w="976" w:type="dxa"/>
            <w:vMerge w:val="restart"/>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发展</w:t>
            </w:r>
          </w:p>
          <w:p>
            <w:pPr>
              <w:adjustRightInd w:val="0"/>
              <w:snapToGrid w:val="0"/>
              <w:spacing w:beforeLines="50" w:afterLines="50" w:line="240" w:lineRule="auto"/>
              <w:ind w:firstLine="0" w:firstLineChars="0"/>
              <w:jc w:val="center"/>
              <w:rPr>
                <w:rFonts w:eastAsia="宋体"/>
                <w:b/>
                <w:sz w:val="24"/>
              </w:rPr>
            </w:pPr>
            <w:r>
              <w:rPr>
                <w:rFonts w:eastAsia="宋体"/>
                <w:b/>
                <w:sz w:val="24"/>
              </w:rPr>
              <w:t>模式</w:t>
            </w:r>
          </w:p>
        </w:tc>
        <w:tc>
          <w:tcPr>
            <w:tcW w:w="5838" w:type="dxa"/>
            <w:gridSpan w:val="15"/>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旅游产品指引</w:t>
            </w:r>
          </w:p>
        </w:tc>
        <w:tc>
          <w:tcPr>
            <w:tcW w:w="423"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发展时序</w:t>
            </w:r>
          </w:p>
        </w:tc>
        <w:tc>
          <w:tcPr>
            <w:tcW w:w="405"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开发限制</w:t>
            </w:r>
          </w:p>
        </w:tc>
        <w:tc>
          <w:tcPr>
            <w:tcW w:w="612" w:type="dxa"/>
            <w:vMerge w:val="restart"/>
            <w:tcMar>
              <w:right w:w="0" w:type="dxa"/>
            </w:tcMar>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岛屿</w:t>
            </w:r>
          </w:p>
          <w:p>
            <w:pPr>
              <w:adjustRightInd w:val="0"/>
              <w:snapToGrid w:val="0"/>
              <w:spacing w:beforeLines="50" w:afterLines="50" w:line="240" w:lineRule="auto"/>
              <w:ind w:firstLine="0" w:firstLineChars="0"/>
              <w:jc w:val="center"/>
              <w:rPr>
                <w:rFonts w:eastAsia="宋体"/>
                <w:b/>
                <w:sz w:val="24"/>
              </w:rPr>
            </w:pPr>
            <w:r>
              <w:rPr>
                <w:rFonts w:eastAsia="宋体"/>
                <w:b/>
                <w:sz w:val="24"/>
              </w:rPr>
              <w:t>面积</w:t>
            </w:r>
          </w:p>
          <w:p>
            <w:pPr>
              <w:adjustRightInd w:val="0"/>
              <w:snapToGrid w:val="0"/>
              <w:spacing w:beforeLines="50" w:afterLines="50" w:line="240" w:lineRule="auto"/>
              <w:ind w:firstLine="0" w:firstLineChars="0"/>
              <w:jc w:val="center"/>
              <w:rPr>
                <w:rFonts w:eastAsia="宋体"/>
                <w:b/>
                <w:sz w:val="24"/>
              </w:rPr>
            </w:pPr>
            <w:r>
              <w:rPr>
                <w:rFonts w:eastAsia="宋体"/>
                <w:b/>
                <w:sz w:val="24"/>
              </w:rPr>
              <w:t>(km</w:t>
            </w:r>
            <w:r>
              <w:rPr>
                <w:rFonts w:eastAsia="宋体"/>
                <w:b/>
                <w:sz w:val="24"/>
                <w:vertAlign w:val="superscript"/>
              </w:rPr>
              <w:t>2</w:t>
            </w:r>
            <w:r>
              <w:rPr>
                <w:rFonts w:eastAsia="宋体"/>
                <w:b/>
                <w:sz w:val="24"/>
              </w:rPr>
              <w:t>)</w:t>
            </w:r>
          </w:p>
        </w:tc>
        <w:tc>
          <w:tcPr>
            <w:tcW w:w="554"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离岸距离</w:t>
            </w:r>
          </w:p>
          <w:p>
            <w:pPr>
              <w:adjustRightInd w:val="0"/>
              <w:snapToGrid w:val="0"/>
              <w:spacing w:beforeLines="50" w:afterLines="50" w:line="240" w:lineRule="auto"/>
              <w:ind w:firstLine="0" w:firstLineChars="0"/>
              <w:jc w:val="center"/>
              <w:rPr>
                <w:rFonts w:eastAsia="宋体"/>
                <w:b/>
                <w:sz w:val="24"/>
              </w:rPr>
            </w:pPr>
            <w:r>
              <w:rPr>
                <w:rFonts w:eastAsia="宋体"/>
                <w:b/>
                <w:sz w:val="24"/>
              </w:rPr>
              <w:t>(米)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83" w:hRule="atLeast"/>
          <w:tblHeader/>
          <w:jc w:val="center"/>
        </w:trPr>
        <w:tc>
          <w:tcPr>
            <w:tcW w:w="469"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1079"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976"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1662" w:type="dxa"/>
            <w:gridSpan w:val="4"/>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基础产品</w:t>
            </w:r>
          </w:p>
        </w:tc>
        <w:tc>
          <w:tcPr>
            <w:tcW w:w="4176" w:type="dxa"/>
            <w:gridSpan w:val="11"/>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创新产品</w:t>
            </w:r>
          </w:p>
        </w:tc>
        <w:tc>
          <w:tcPr>
            <w:tcW w:w="423"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405"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612" w:type="dxa"/>
            <w:vMerge w:val="continue"/>
            <w:tcMar>
              <w:right w:w="57" w:type="dxa"/>
            </w:tcMar>
            <w:vAlign w:val="top"/>
          </w:tcPr>
          <w:p>
            <w:pPr>
              <w:adjustRightInd w:val="0"/>
              <w:snapToGrid w:val="0"/>
              <w:spacing w:beforeLines="50" w:afterLines="50" w:line="240" w:lineRule="auto"/>
              <w:ind w:firstLine="0" w:firstLineChars="0"/>
              <w:jc w:val="center"/>
              <w:rPr>
                <w:rFonts w:eastAsia="宋体"/>
                <w:b/>
                <w:sz w:val="24"/>
              </w:rPr>
            </w:pPr>
          </w:p>
        </w:tc>
        <w:tc>
          <w:tcPr>
            <w:tcW w:w="554" w:type="dxa"/>
            <w:vMerge w:val="continue"/>
            <w:vAlign w:val="top"/>
          </w:tcPr>
          <w:p>
            <w:pPr>
              <w:adjustRightInd w:val="0"/>
              <w:snapToGrid w:val="0"/>
              <w:spacing w:beforeLines="50" w:afterLines="50" w:line="240" w:lineRule="auto"/>
              <w:ind w:firstLine="0" w:firstLineChars="0"/>
              <w:jc w:val="center"/>
              <w:rPr>
                <w:rFonts w:eastAsia="宋体"/>
                <w:b/>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44" w:hRule="atLeast"/>
          <w:tblHeader/>
          <w:jc w:val="center"/>
        </w:trPr>
        <w:tc>
          <w:tcPr>
            <w:tcW w:w="469"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1079"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976"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自然</w:t>
            </w:r>
          </w:p>
          <w:p>
            <w:pPr>
              <w:adjustRightInd w:val="0"/>
              <w:snapToGrid w:val="0"/>
              <w:spacing w:beforeLines="50" w:afterLines="50" w:line="240" w:lineRule="auto"/>
              <w:ind w:firstLine="0" w:firstLineChars="0"/>
              <w:jc w:val="center"/>
              <w:rPr>
                <w:rFonts w:eastAsia="宋体"/>
                <w:b/>
                <w:sz w:val="24"/>
              </w:rPr>
            </w:pPr>
            <w:r>
              <w:rPr>
                <w:rFonts w:eastAsia="宋体"/>
                <w:b/>
                <w:sz w:val="24"/>
              </w:rPr>
              <w:t>观光</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休闲</w:t>
            </w:r>
          </w:p>
          <w:p>
            <w:pPr>
              <w:adjustRightInd w:val="0"/>
              <w:snapToGrid w:val="0"/>
              <w:spacing w:beforeLines="50" w:afterLines="50" w:line="240" w:lineRule="auto"/>
              <w:ind w:firstLine="0" w:firstLineChars="0"/>
              <w:jc w:val="center"/>
              <w:rPr>
                <w:rFonts w:eastAsia="宋体"/>
                <w:b/>
                <w:sz w:val="24"/>
              </w:rPr>
            </w:pPr>
            <w:r>
              <w:rPr>
                <w:rFonts w:eastAsia="宋体"/>
                <w:b/>
                <w:sz w:val="24"/>
              </w:rPr>
              <w:t>度假</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生态</w:t>
            </w:r>
          </w:p>
          <w:p>
            <w:pPr>
              <w:adjustRightInd w:val="0"/>
              <w:snapToGrid w:val="0"/>
              <w:spacing w:beforeLines="50" w:afterLines="50" w:line="240" w:lineRule="auto"/>
              <w:ind w:firstLine="0" w:firstLineChars="0"/>
              <w:jc w:val="center"/>
              <w:rPr>
                <w:rFonts w:eastAsia="宋体"/>
                <w:b/>
                <w:sz w:val="24"/>
              </w:rPr>
            </w:pPr>
            <w:r>
              <w:rPr>
                <w:rFonts w:eastAsia="宋体"/>
                <w:b/>
                <w:sz w:val="24"/>
              </w:rPr>
              <w:t>科普</w:t>
            </w:r>
          </w:p>
        </w:tc>
        <w:tc>
          <w:tcPr>
            <w:tcW w:w="417" w:type="dxa"/>
            <w:gridSpan w:val="2"/>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文化</w:t>
            </w:r>
          </w:p>
          <w:p>
            <w:pPr>
              <w:adjustRightInd w:val="0"/>
              <w:snapToGrid w:val="0"/>
              <w:spacing w:beforeLines="50" w:afterLines="50" w:line="240" w:lineRule="auto"/>
              <w:ind w:firstLine="0" w:firstLineChars="0"/>
              <w:jc w:val="center"/>
              <w:rPr>
                <w:rFonts w:eastAsia="宋体"/>
                <w:b/>
                <w:sz w:val="24"/>
              </w:rPr>
            </w:pPr>
            <w:r>
              <w:rPr>
                <w:rFonts w:eastAsia="宋体"/>
                <w:b/>
                <w:sz w:val="24"/>
              </w:rPr>
              <w:t>体验</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海鲜</w:t>
            </w:r>
          </w:p>
          <w:p>
            <w:pPr>
              <w:adjustRightInd w:val="0"/>
              <w:snapToGrid w:val="0"/>
              <w:spacing w:beforeLines="50" w:afterLines="50" w:line="240" w:lineRule="auto"/>
              <w:ind w:firstLine="0" w:firstLineChars="0"/>
              <w:jc w:val="center"/>
              <w:rPr>
                <w:rFonts w:eastAsia="宋体"/>
                <w:b/>
                <w:sz w:val="24"/>
              </w:rPr>
            </w:pPr>
            <w:r>
              <w:rPr>
                <w:rFonts w:eastAsia="宋体"/>
                <w:b/>
                <w:sz w:val="24"/>
              </w:rPr>
              <w:t>美食</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水上</w:t>
            </w:r>
          </w:p>
          <w:p>
            <w:pPr>
              <w:adjustRightInd w:val="0"/>
              <w:snapToGrid w:val="0"/>
              <w:spacing w:beforeLines="50" w:afterLines="50" w:line="240" w:lineRule="auto"/>
              <w:ind w:firstLine="0" w:firstLineChars="0"/>
              <w:jc w:val="center"/>
              <w:rPr>
                <w:rFonts w:eastAsia="宋体"/>
                <w:b/>
                <w:sz w:val="24"/>
              </w:rPr>
            </w:pPr>
            <w:r>
              <w:rPr>
                <w:rFonts w:eastAsia="宋体"/>
                <w:b/>
                <w:sz w:val="24"/>
              </w:rPr>
              <w:t>运动</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浪漫</w:t>
            </w:r>
          </w:p>
          <w:p>
            <w:pPr>
              <w:adjustRightInd w:val="0"/>
              <w:snapToGrid w:val="0"/>
              <w:spacing w:beforeLines="50" w:afterLines="50" w:line="240" w:lineRule="auto"/>
              <w:ind w:firstLine="0" w:firstLineChars="0"/>
              <w:jc w:val="center"/>
              <w:rPr>
                <w:rFonts w:eastAsia="宋体"/>
                <w:b/>
                <w:sz w:val="24"/>
              </w:rPr>
            </w:pPr>
            <w:r>
              <w:rPr>
                <w:rFonts w:eastAsia="宋体"/>
                <w:b/>
                <w:sz w:val="24"/>
              </w:rPr>
              <w:t>蜜月</w:t>
            </w:r>
          </w:p>
        </w:tc>
        <w:tc>
          <w:tcPr>
            <w:tcW w:w="417" w:type="dxa"/>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渔业</w:t>
            </w:r>
          </w:p>
          <w:p>
            <w:pPr>
              <w:adjustRightInd w:val="0"/>
              <w:snapToGrid w:val="0"/>
              <w:spacing w:beforeLines="50" w:afterLines="50" w:line="240" w:lineRule="auto"/>
              <w:ind w:firstLine="0" w:firstLineChars="0"/>
              <w:jc w:val="center"/>
              <w:rPr>
                <w:rFonts w:eastAsia="宋体"/>
                <w:b/>
                <w:sz w:val="24"/>
              </w:rPr>
            </w:pPr>
            <w:r>
              <w:rPr>
                <w:rFonts w:eastAsia="宋体"/>
                <w:b/>
                <w:sz w:val="24"/>
              </w:rPr>
              <w:t>休闲</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家庭</w:t>
            </w:r>
          </w:p>
          <w:p>
            <w:pPr>
              <w:adjustRightInd w:val="0"/>
              <w:snapToGrid w:val="0"/>
              <w:spacing w:beforeLines="50" w:afterLines="50" w:line="240" w:lineRule="auto"/>
              <w:ind w:firstLine="0" w:firstLineChars="0"/>
              <w:jc w:val="center"/>
              <w:rPr>
                <w:rFonts w:eastAsia="宋体"/>
                <w:b/>
                <w:sz w:val="24"/>
              </w:rPr>
            </w:pPr>
            <w:r>
              <w:rPr>
                <w:rFonts w:eastAsia="宋体"/>
                <w:b/>
                <w:sz w:val="24"/>
              </w:rPr>
              <w:t>亲子</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海洋</w:t>
            </w:r>
          </w:p>
          <w:p>
            <w:pPr>
              <w:adjustRightInd w:val="0"/>
              <w:snapToGrid w:val="0"/>
              <w:spacing w:beforeLines="50" w:afterLines="50" w:line="240" w:lineRule="auto"/>
              <w:ind w:firstLine="0" w:firstLineChars="0"/>
              <w:jc w:val="center"/>
              <w:rPr>
                <w:rFonts w:eastAsia="宋体"/>
                <w:b/>
                <w:sz w:val="24"/>
              </w:rPr>
            </w:pPr>
            <w:r>
              <w:rPr>
                <w:rFonts w:eastAsia="宋体"/>
                <w:b/>
                <w:sz w:val="24"/>
              </w:rPr>
              <w:t>乐园</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船艇</w:t>
            </w:r>
          </w:p>
          <w:p>
            <w:pPr>
              <w:adjustRightInd w:val="0"/>
              <w:snapToGrid w:val="0"/>
              <w:spacing w:beforeLines="50" w:afterLines="50" w:line="240" w:lineRule="auto"/>
              <w:ind w:firstLine="0" w:firstLineChars="0"/>
              <w:jc w:val="center"/>
              <w:rPr>
                <w:rFonts w:eastAsia="宋体"/>
                <w:b/>
                <w:sz w:val="24"/>
              </w:rPr>
            </w:pPr>
            <w:r>
              <w:rPr>
                <w:rFonts w:eastAsia="宋体"/>
                <w:b/>
                <w:sz w:val="24"/>
              </w:rPr>
              <w:t>旅游</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海洋</w:t>
            </w:r>
          </w:p>
          <w:p>
            <w:pPr>
              <w:adjustRightInd w:val="0"/>
              <w:snapToGrid w:val="0"/>
              <w:spacing w:beforeLines="50" w:afterLines="50" w:line="240" w:lineRule="auto"/>
              <w:ind w:firstLine="0" w:firstLineChars="0"/>
              <w:jc w:val="center"/>
              <w:rPr>
                <w:rFonts w:eastAsia="宋体"/>
                <w:b/>
                <w:sz w:val="24"/>
              </w:rPr>
            </w:pPr>
            <w:r>
              <w:rPr>
                <w:rFonts w:eastAsia="宋体"/>
                <w:b/>
                <w:sz w:val="24"/>
              </w:rPr>
              <w:t>探奇</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生态</w:t>
            </w:r>
          </w:p>
          <w:p>
            <w:pPr>
              <w:adjustRightInd w:val="0"/>
              <w:snapToGrid w:val="0"/>
              <w:spacing w:beforeLines="50" w:afterLines="50" w:line="240" w:lineRule="auto"/>
              <w:ind w:firstLine="0" w:firstLineChars="0"/>
              <w:jc w:val="center"/>
              <w:rPr>
                <w:rFonts w:eastAsia="宋体"/>
                <w:b/>
                <w:sz w:val="24"/>
              </w:rPr>
            </w:pPr>
            <w:r>
              <w:rPr>
                <w:rFonts w:eastAsia="宋体"/>
                <w:b/>
                <w:sz w:val="24"/>
              </w:rPr>
              <w:t>研学</w:t>
            </w:r>
          </w:p>
        </w:tc>
        <w:tc>
          <w:tcPr>
            <w:tcW w:w="417"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商务</w:t>
            </w:r>
          </w:p>
          <w:p>
            <w:pPr>
              <w:adjustRightInd w:val="0"/>
              <w:snapToGrid w:val="0"/>
              <w:spacing w:beforeLines="50" w:afterLines="50" w:line="240" w:lineRule="auto"/>
              <w:ind w:firstLine="0" w:firstLineChars="0"/>
              <w:jc w:val="center"/>
              <w:rPr>
                <w:rFonts w:eastAsia="宋体"/>
                <w:b/>
                <w:sz w:val="24"/>
              </w:rPr>
            </w:pPr>
            <w:r>
              <w:rPr>
                <w:rFonts w:eastAsia="宋体"/>
                <w:b/>
                <w:sz w:val="24"/>
              </w:rPr>
              <w:t>培训</w:t>
            </w:r>
          </w:p>
        </w:tc>
        <w:tc>
          <w:tcPr>
            <w:tcW w:w="423"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405"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612" w:type="dxa"/>
            <w:vMerge w:val="continue"/>
            <w:tcMar>
              <w:right w:w="57" w:type="dxa"/>
            </w:tcMar>
            <w:vAlign w:val="top"/>
          </w:tcPr>
          <w:p>
            <w:pPr>
              <w:adjustRightInd w:val="0"/>
              <w:snapToGrid w:val="0"/>
              <w:spacing w:beforeLines="50" w:afterLines="50" w:line="240" w:lineRule="auto"/>
              <w:ind w:firstLine="0" w:firstLineChars="0"/>
              <w:jc w:val="center"/>
              <w:rPr>
                <w:rFonts w:eastAsia="宋体"/>
                <w:b/>
                <w:sz w:val="24"/>
              </w:rPr>
            </w:pPr>
          </w:p>
        </w:tc>
        <w:tc>
          <w:tcPr>
            <w:tcW w:w="554" w:type="dxa"/>
            <w:vMerge w:val="continue"/>
            <w:vAlign w:val="top"/>
          </w:tcPr>
          <w:p>
            <w:pPr>
              <w:adjustRightInd w:val="0"/>
              <w:snapToGrid w:val="0"/>
              <w:spacing w:beforeLines="50" w:afterLines="50" w:line="240" w:lineRule="auto"/>
              <w:ind w:firstLine="0" w:firstLineChars="0"/>
              <w:jc w:val="center"/>
              <w:rPr>
                <w:rFonts w:eastAsia="宋体"/>
                <w:b/>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广州</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海鸥岛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34.72</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420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珠海</w:t>
            </w:r>
          </w:p>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横琴岛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84.14</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430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大万山岛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8.25</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30600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东澳岛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4.73</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22580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淇澳岛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18.343</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1140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外伶仃岛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4.31</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23730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42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担杆岛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13.39</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21520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桂山岛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4.76</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25060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汕头</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南澳岛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106.05</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6750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达濠岛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中</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87.83</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妈屿岛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0.24</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惠州</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盐洲</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中</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3.68</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28" w:hRule="atLeast"/>
          <w:jc w:val="center"/>
        </w:trPr>
        <w:tc>
          <w:tcPr>
            <w:tcW w:w="46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汕尾</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小岛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0.33</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东莞</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威远岛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19.65</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木棉山岛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0.20</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江门</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上川岛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137.37</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9330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下川岛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82.69</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6370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大襟岛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9.20</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3070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盘皇岛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0.50</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阳江</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海陵岛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top"/>
          </w:tcPr>
          <w:p>
            <w:pPr>
              <w:adjustRightInd w:val="0"/>
              <w:snapToGrid w:val="0"/>
              <w:spacing w:beforeLines="50" w:afterLines="50" w:line="240" w:lineRule="auto"/>
              <w:ind w:firstLine="0" w:firstLineChars="0"/>
              <w:jc w:val="center"/>
              <w:rPr>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102.30</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1750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湛江</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南三岛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119.23</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380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东海岛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248.85</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2690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硇洲岛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49.77</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18900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特呈岛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3.21</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1220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茂名</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大洲（水东岛）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远</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0.82</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860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restart"/>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潮州</w:t>
            </w: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汛洲岛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2.24</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3600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西澳岛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岛岸联动</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近</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r>
              <w:rPr>
                <w:rFonts w:eastAsia="宋体"/>
                <w:sz w:val="21"/>
                <w:szCs w:val="21"/>
              </w:rPr>
              <w:t>有</w:t>
            </w: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2.08</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56" w:hRule="atLeast"/>
          <w:jc w:val="center"/>
        </w:trPr>
        <w:tc>
          <w:tcPr>
            <w:tcW w:w="469" w:type="dxa"/>
            <w:vMerge w:val="continue"/>
            <w:vAlign w:val="center"/>
          </w:tcPr>
          <w:p>
            <w:pPr>
              <w:adjustRightInd w:val="0"/>
              <w:snapToGrid w:val="0"/>
              <w:spacing w:beforeLines="50" w:afterLines="50" w:line="240" w:lineRule="auto"/>
              <w:ind w:firstLine="0" w:firstLineChars="0"/>
              <w:jc w:val="center"/>
              <w:rPr>
                <w:rFonts w:eastAsia="宋体"/>
                <w:sz w:val="21"/>
                <w:szCs w:val="21"/>
              </w:rPr>
            </w:pPr>
          </w:p>
        </w:tc>
        <w:tc>
          <w:tcPr>
            <w:tcW w:w="1079"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海山岛</w:t>
            </w:r>
          </w:p>
        </w:tc>
        <w:tc>
          <w:tcPr>
            <w:tcW w:w="976"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大小互补</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top"/>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w:t>
            </w: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17"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23" w:type="dxa"/>
            <w:vAlign w:val="center"/>
          </w:tcPr>
          <w:p>
            <w:pPr>
              <w:adjustRightInd w:val="0"/>
              <w:snapToGrid w:val="0"/>
              <w:spacing w:beforeLines="50" w:afterLines="50" w:line="240" w:lineRule="auto"/>
              <w:ind w:firstLine="0" w:firstLineChars="0"/>
              <w:jc w:val="center"/>
              <w:rPr>
                <w:rFonts w:eastAsia="宋体"/>
                <w:sz w:val="21"/>
                <w:szCs w:val="21"/>
              </w:rPr>
            </w:pPr>
            <w:r>
              <w:rPr>
                <w:sz w:val="21"/>
                <w:szCs w:val="21"/>
              </w:rPr>
              <w:t>中</w:t>
            </w:r>
          </w:p>
        </w:tc>
        <w:tc>
          <w:tcPr>
            <w:tcW w:w="405"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612" w:type="dxa"/>
            <w:tcMar>
              <w:right w:w="57" w:type="dxa"/>
            </w:tcMar>
            <w:vAlign w:val="bottom"/>
          </w:tcPr>
          <w:p>
            <w:pPr>
              <w:adjustRightInd w:val="0"/>
              <w:snapToGrid w:val="0"/>
              <w:spacing w:beforeLines="50" w:afterLines="50" w:line="240" w:lineRule="auto"/>
              <w:ind w:firstLine="0" w:firstLineChars="0"/>
              <w:jc w:val="right"/>
              <w:rPr>
                <w:sz w:val="21"/>
                <w:szCs w:val="21"/>
              </w:rPr>
            </w:pPr>
            <w:r>
              <w:rPr>
                <w:sz w:val="21"/>
                <w:szCs w:val="21"/>
              </w:rPr>
              <w:t>27.71</w:t>
            </w:r>
          </w:p>
        </w:tc>
        <w:tc>
          <w:tcPr>
            <w:tcW w:w="554" w:type="dxa"/>
            <w:vAlign w:val="bottom"/>
          </w:tcPr>
          <w:p>
            <w:pPr>
              <w:adjustRightInd w:val="0"/>
              <w:snapToGrid w:val="0"/>
              <w:spacing w:beforeLines="50" w:afterLines="50" w:line="240" w:lineRule="auto"/>
              <w:ind w:firstLine="0" w:firstLineChars="0"/>
              <w:jc w:val="right"/>
              <w:rPr>
                <w:sz w:val="21"/>
                <w:szCs w:val="21"/>
              </w:rPr>
            </w:pPr>
            <w:r>
              <w:rPr>
                <w:sz w:val="21"/>
                <w:szCs w:val="21"/>
              </w:rPr>
              <w:t>170</w:t>
            </w:r>
          </w:p>
        </w:tc>
      </w:tr>
    </w:tbl>
    <w:p>
      <w:pPr>
        <w:ind w:firstLine="560"/>
        <w:rPr>
          <w:sz w:val="28"/>
        </w:rPr>
      </w:pPr>
      <w:r>
        <w:rPr>
          <w:sz w:val="28"/>
        </w:rPr>
        <w:t>注1：表中“√”为建议发展，表中“</w:t>
      </w:r>
      <w:r>
        <w:rPr>
          <w:b/>
          <w:bCs/>
          <w:sz w:val="28"/>
        </w:rPr>
        <w:t>□</w:t>
      </w:r>
      <w:r>
        <w:rPr>
          <w:sz w:val="28"/>
        </w:rPr>
        <w:t>”为不建议发展，表中“×”为禁止发展。</w:t>
      </w:r>
    </w:p>
    <w:p>
      <w:pPr>
        <w:ind w:firstLine="478" w:firstLineChars="171"/>
        <w:rPr>
          <w:sz w:val="28"/>
        </w:rPr>
      </w:pPr>
      <w:r>
        <w:rPr>
          <w:sz w:val="28"/>
        </w:rPr>
        <w:t>注2：表中“开发限制”一栏指至规划发布之日为止公布的广东省生态红线及县级以上的自然保护区、湿地公园、森林公园。利用岛屿开展旅游活动前应核实上述限制条件以及其他各项限制条件。</w:t>
      </w:r>
    </w:p>
    <w:p>
      <w:pPr>
        <w:ind w:firstLine="478" w:firstLineChars="171"/>
        <w:rPr>
          <w:sz w:val="28"/>
        </w:rPr>
      </w:pPr>
    </w:p>
    <w:p>
      <w:pPr>
        <w:ind w:firstLine="478" w:firstLineChars="171"/>
        <w:rPr>
          <w:sz w:val="28"/>
        </w:rPr>
      </w:pPr>
    </w:p>
    <w:p>
      <w:pPr>
        <w:pStyle w:val="93"/>
        <w:spacing w:before="0"/>
        <w:ind w:left="0"/>
        <w:rPr>
          <w:rFonts w:ascii="Times New Roman" w:hAnsi="Times New Roman" w:cs="Times New Roman"/>
        </w:rPr>
      </w:pPr>
      <w:bookmarkStart w:id="59" w:name="_Toc7624"/>
      <w:r>
        <w:rPr>
          <w:rFonts w:ascii="Times New Roman" w:hAnsi="Times New Roman" w:cs="Times New Roman"/>
        </w:rPr>
        <w:t>附表2：广东海岛旅游发展指引一览表（无居民海岛）</w:t>
      </w:r>
      <w:bookmarkEnd w:id="59"/>
    </w:p>
    <w:tbl>
      <w:tblPr>
        <w:tblStyle w:val="35"/>
        <w:tblW w:w="9127"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01"/>
        <w:gridCol w:w="956"/>
        <w:gridCol w:w="814"/>
        <w:gridCol w:w="333"/>
        <w:gridCol w:w="333"/>
        <w:gridCol w:w="333"/>
        <w:gridCol w:w="333"/>
        <w:gridCol w:w="13"/>
        <w:gridCol w:w="320"/>
        <w:gridCol w:w="333"/>
        <w:gridCol w:w="334"/>
        <w:gridCol w:w="333"/>
        <w:gridCol w:w="333"/>
        <w:gridCol w:w="333"/>
        <w:gridCol w:w="333"/>
        <w:gridCol w:w="333"/>
        <w:gridCol w:w="333"/>
        <w:gridCol w:w="334"/>
        <w:gridCol w:w="431"/>
        <w:gridCol w:w="431"/>
        <w:gridCol w:w="811"/>
        <w:gridCol w:w="7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tblHeader/>
          <w:jc w:val="center"/>
        </w:trPr>
        <w:tc>
          <w:tcPr>
            <w:tcW w:w="301" w:type="dxa"/>
            <w:vMerge w:val="restart"/>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城市</w:t>
            </w:r>
          </w:p>
        </w:tc>
        <w:tc>
          <w:tcPr>
            <w:tcW w:w="956" w:type="dxa"/>
            <w:vMerge w:val="restart"/>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名称</w:t>
            </w:r>
          </w:p>
        </w:tc>
        <w:tc>
          <w:tcPr>
            <w:tcW w:w="814" w:type="dxa"/>
            <w:vMerge w:val="restart"/>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发展</w:t>
            </w:r>
          </w:p>
          <w:p>
            <w:pPr>
              <w:adjustRightInd w:val="0"/>
              <w:snapToGrid w:val="0"/>
              <w:spacing w:beforeLines="50" w:afterLines="50" w:line="240" w:lineRule="auto"/>
              <w:ind w:firstLine="0" w:firstLineChars="0"/>
              <w:jc w:val="center"/>
              <w:rPr>
                <w:rFonts w:eastAsia="宋体"/>
                <w:b/>
                <w:sz w:val="24"/>
              </w:rPr>
            </w:pPr>
            <w:r>
              <w:rPr>
                <w:rFonts w:eastAsia="宋体"/>
                <w:b/>
                <w:sz w:val="24"/>
              </w:rPr>
              <w:t>模式</w:t>
            </w:r>
          </w:p>
        </w:tc>
        <w:tc>
          <w:tcPr>
            <w:tcW w:w="4664" w:type="dxa"/>
            <w:gridSpan w:val="15"/>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旅游产品指引</w:t>
            </w:r>
          </w:p>
        </w:tc>
        <w:tc>
          <w:tcPr>
            <w:tcW w:w="431"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发展时序</w:t>
            </w:r>
          </w:p>
        </w:tc>
        <w:tc>
          <w:tcPr>
            <w:tcW w:w="431"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开发限制</w:t>
            </w:r>
          </w:p>
        </w:tc>
        <w:tc>
          <w:tcPr>
            <w:tcW w:w="811" w:type="dxa"/>
            <w:vMerge w:val="restart"/>
            <w:tcMar>
              <w:right w:w="57" w:type="dxa"/>
            </w:tcMar>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岛屿</w:t>
            </w:r>
          </w:p>
          <w:p>
            <w:pPr>
              <w:adjustRightInd w:val="0"/>
              <w:snapToGrid w:val="0"/>
              <w:spacing w:beforeLines="50" w:afterLines="50" w:line="240" w:lineRule="auto"/>
              <w:ind w:firstLine="0" w:firstLineChars="0"/>
              <w:jc w:val="center"/>
              <w:rPr>
                <w:rFonts w:eastAsia="宋体"/>
                <w:b/>
                <w:sz w:val="24"/>
              </w:rPr>
            </w:pPr>
            <w:r>
              <w:rPr>
                <w:rFonts w:eastAsia="宋体"/>
                <w:b/>
                <w:sz w:val="24"/>
              </w:rPr>
              <w:t>面积</w:t>
            </w:r>
          </w:p>
          <w:p>
            <w:pPr>
              <w:adjustRightInd w:val="0"/>
              <w:snapToGrid w:val="0"/>
              <w:spacing w:beforeLines="50" w:afterLines="50" w:line="240" w:lineRule="auto"/>
              <w:ind w:firstLine="0" w:firstLineChars="0"/>
              <w:jc w:val="center"/>
              <w:rPr>
                <w:rFonts w:eastAsia="宋体"/>
                <w:b/>
                <w:sz w:val="24"/>
              </w:rPr>
            </w:pPr>
            <w:r>
              <w:rPr>
                <w:rFonts w:eastAsia="宋体"/>
                <w:b/>
                <w:sz w:val="24"/>
              </w:rPr>
              <w:t>(ha)</w:t>
            </w:r>
          </w:p>
        </w:tc>
        <w:tc>
          <w:tcPr>
            <w:tcW w:w="719" w:type="dxa"/>
            <w:vMerge w:val="restart"/>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离岸</w:t>
            </w:r>
          </w:p>
          <w:p>
            <w:pPr>
              <w:adjustRightInd w:val="0"/>
              <w:snapToGrid w:val="0"/>
              <w:spacing w:beforeLines="50" w:afterLines="50" w:line="240" w:lineRule="auto"/>
              <w:ind w:firstLine="0" w:firstLineChars="0"/>
              <w:jc w:val="center"/>
              <w:rPr>
                <w:rFonts w:eastAsia="宋体"/>
                <w:b/>
                <w:sz w:val="24"/>
              </w:rPr>
            </w:pPr>
            <w:r>
              <w:rPr>
                <w:rFonts w:eastAsia="宋体"/>
                <w:b/>
                <w:sz w:val="24"/>
              </w:rPr>
              <w:t>距离</w:t>
            </w:r>
          </w:p>
          <w:p>
            <w:pPr>
              <w:adjustRightInd w:val="0"/>
              <w:snapToGrid w:val="0"/>
              <w:spacing w:beforeLines="50" w:afterLines="50" w:line="240" w:lineRule="auto"/>
              <w:ind w:firstLine="0" w:firstLineChars="0"/>
              <w:jc w:val="center"/>
              <w:rPr>
                <w:rFonts w:eastAsia="宋体"/>
                <w:b/>
                <w:sz w:val="24"/>
              </w:rPr>
            </w:pPr>
            <w:r>
              <w:rPr>
                <w:rFonts w:eastAsia="宋体"/>
                <w:b/>
                <w:sz w:val="24"/>
              </w:rPr>
              <w:t>(km)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tblHeader/>
          <w:jc w:val="center"/>
        </w:trPr>
        <w:tc>
          <w:tcPr>
            <w:tcW w:w="30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956"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814"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1345" w:type="dxa"/>
            <w:gridSpan w:val="5"/>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基础产品</w:t>
            </w:r>
          </w:p>
        </w:tc>
        <w:tc>
          <w:tcPr>
            <w:tcW w:w="3319" w:type="dxa"/>
            <w:gridSpan w:val="10"/>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创新产品</w:t>
            </w:r>
          </w:p>
        </w:tc>
        <w:tc>
          <w:tcPr>
            <w:tcW w:w="43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43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811" w:type="dxa"/>
            <w:vMerge w:val="continue"/>
            <w:tcMar>
              <w:right w:w="57" w:type="dxa"/>
            </w:tcMar>
            <w:vAlign w:val="top"/>
          </w:tcPr>
          <w:p>
            <w:pPr>
              <w:adjustRightInd w:val="0"/>
              <w:snapToGrid w:val="0"/>
              <w:spacing w:beforeLines="50" w:afterLines="50" w:line="240" w:lineRule="auto"/>
              <w:ind w:firstLine="0" w:firstLineChars="0"/>
              <w:jc w:val="center"/>
              <w:rPr>
                <w:rFonts w:eastAsia="宋体"/>
                <w:b/>
                <w:sz w:val="24"/>
              </w:rPr>
            </w:pPr>
          </w:p>
        </w:tc>
        <w:tc>
          <w:tcPr>
            <w:tcW w:w="719" w:type="dxa"/>
            <w:vMerge w:val="continue"/>
            <w:vAlign w:val="top"/>
          </w:tcPr>
          <w:p>
            <w:pPr>
              <w:adjustRightInd w:val="0"/>
              <w:snapToGrid w:val="0"/>
              <w:spacing w:beforeLines="50" w:afterLines="50" w:line="240" w:lineRule="auto"/>
              <w:ind w:firstLine="0" w:firstLineChars="0"/>
              <w:jc w:val="center"/>
              <w:rPr>
                <w:rFonts w:eastAsia="宋体"/>
                <w:b/>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tblHeader/>
          <w:jc w:val="center"/>
        </w:trPr>
        <w:tc>
          <w:tcPr>
            <w:tcW w:w="30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956"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814" w:type="dxa"/>
            <w:vMerge w:val="continue"/>
            <w:vAlign w:val="center"/>
          </w:tcPr>
          <w:p>
            <w:pPr>
              <w:adjustRightInd w:val="0"/>
              <w:snapToGrid w:val="0"/>
              <w:spacing w:beforeLines="50" w:afterLines="50" w:line="240" w:lineRule="auto"/>
              <w:ind w:firstLine="0" w:firstLineChars="0"/>
              <w:jc w:val="center"/>
              <w:rPr>
                <w:rFonts w:eastAsia="宋体"/>
                <w:b/>
                <w:sz w:val="24"/>
              </w:rPr>
            </w:pP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自然</w:t>
            </w:r>
          </w:p>
          <w:p>
            <w:pPr>
              <w:adjustRightInd w:val="0"/>
              <w:snapToGrid w:val="0"/>
              <w:spacing w:beforeLines="50" w:afterLines="50" w:line="240" w:lineRule="auto"/>
              <w:ind w:firstLine="0" w:firstLineChars="0"/>
              <w:jc w:val="center"/>
              <w:rPr>
                <w:rFonts w:eastAsia="宋体"/>
                <w:b/>
                <w:sz w:val="24"/>
              </w:rPr>
            </w:pPr>
            <w:r>
              <w:rPr>
                <w:rFonts w:eastAsia="宋体"/>
                <w:b/>
                <w:sz w:val="24"/>
              </w:rPr>
              <w:t>观光</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休闲</w:t>
            </w:r>
          </w:p>
          <w:p>
            <w:pPr>
              <w:adjustRightInd w:val="0"/>
              <w:snapToGrid w:val="0"/>
              <w:spacing w:beforeLines="50" w:afterLines="50" w:line="240" w:lineRule="auto"/>
              <w:ind w:firstLine="0" w:firstLineChars="0"/>
              <w:jc w:val="center"/>
              <w:rPr>
                <w:rFonts w:eastAsia="宋体"/>
                <w:b/>
                <w:sz w:val="24"/>
              </w:rPr>
            </w:pPr>
            <w:r>
              <w:rPr>
                <w:rFonts w:eastAsia="宋体"/>
                <w:b/>
                <w:sz w:val="24"/>
              </w:rPr>
              <w:t>度假</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生态</w:t>
            </w:r>
          </w:p>
          <w:p>
            <w:pPr>
              <w:adjustRightInd w:val="0"/>
              <w:snapToGrid w:val="0"/>
              <w:spacing w:beforeLines="50" w:afterLines="50" w:line="240" w:lineRule="auto"/>
              <w:ind w:firstLine="0" w:firstLineChars="0"/>
              <w:jc w:val="center"/>
              <w:rPr>
                <w:rFonts w:eastAsia="宋体"/>
                <w:b/>
                <w:sz w:val="24"/>
              </w:rPr>
            </w:pPr>
            <w:r>
              <w:rPr>
                <w:rFonts w:eastAsia="宋体"/>
                <w:b/>
                <w:sz w:val="24"/>
              </w:rPr>
              <w:t>科普</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文化</w:t>
            </w:r>
          </w:p>
          <w:p>
            <w:pPr>
              <w:adjustRightInd w:val="0"/>
              <w:snapToGrid w:val="0"/>
              <w:spacing w:beforeLines="50" w:afterLines="50" w:line="240" w:lineRule="auto"/>
              <w:ind w:firstLine="0" w:firstLineChars="0"/>
              <w:jc w:val="center"/>
              <w:rPr>
                <w:rFonts w:eastAsia="宋体"/>
                <w:b/>
                <w:sz w:val="24"/>
              </w:rPr>
            </w:pPr>
            <w:r>
              <w:rPr>
                <w:rFonts w:eastAsia="宋体"/>
                <w:b/>
                <w:sz w:val="24"/>
              </w:rPr>
              <w:t>体验</w:t>
            </w:r>
          </w:p>
        </w:tc>
        <w:tc>
          <w:tcPr>
            <w:tcW w:w="333" w:type="dxa"/>
            <w:gridSpan w:val="2"/>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海鲜</w:t>
            </w:r>
          </w:p>
          <w:p>
            <w:pPr>
              <w:adjustRightInd w:val="0"/>
              <w:snapToGrid w:val="0"/>
              <w:spacing w:beforeLines="50" w:afterLines="50" w:line="240" w:lineRule="auto"/>
              <w:ind w:firstLine="0" w:firstLineChars="0"/>
              <w:jc w:val="center"/>
              <w:rPr>
                <w:rFonts w:eastAsia="宋体"/>
                <w:b/>
                <w:sz w:val="24"/>
              </w:rPr>
            </w:pPr>
            <w:r>
              <w:rPr>
                <w:rFonts w:eastAsia="宋体"/>
                <w:b/>
                <w:sz w:val="24"/>
              </w:rPr>
              <w:t>美食</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水上</w:t>
            </w:r>
          </w:p>
          <w:p>
            <w:pPr>
              <w:adjustRightInd w:val="0"/>
              <w:snapToGrid w:val="0"/>
              <w:spacing w:beforeLines="50" w:afterLines="50" w:line="240" w:lineRule="auto"/>
              <w:ind w:firstLine="0" w:firstLineChars="0"/>
              <w:jc w:val="center"/>
              <w:rPr>
                <w:rFonts w:eastAsia="宋体"/>
                <w:b/>
                <w:sz w:val="24"/>
              </w:rPr>
            </w:pPr>
            <w:r>
              <w:rPr>
                <w:rFonts w:eastAsia="宋体"/>
                <w:b/>
                <w:sz w:val="24"/>
              </w:rPr>
              <w:t>运动</w:t>
            </w:r>
          </w:p>
        </w:tc>
        <w:tc>
          <w:tcPr>
            <w:tcW w:w="334"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浪漫</w:t>
            </w:r>
          </w:p>
          <w:p>
            <w:pPr>
              <w:adjustRightInd w:val="0"/>
              <w:snapToGrid w:val="0"/>
              <w:spacing w:beforeLines="50" w:afterLines="50" w:line="240" w:lineRule="auto"/>
              <w:ind w:firstLine="0" w:firstLineChars="0"/>
              <w:jc w:val="center"/>
              <w:rPr>
                <w:rFonts w:eastAsia="宋体"/>
                <w:b/>
                <w:sz w:val="24"/>
              </w:rPr>
            </w:pPr>
            <w:r>
              <w:rPr>
                <w:rFonts w:eastAsia="宋体"/>
                <w:b/>
                <w:sz w:val="24"/>
              </w:rPr>
              <w:t>蜜月</w:t>
            </w:r>
          </w:p>
        </w:tc>
        <w:tc>
          <w:tcPr>
            <w:tcW w:w="333" w:type="dxa"/>
            <w:vAlign w:val="top"/>
          </w:tcPr>
          <w:p>
            <w:pPr>
              <w:adjustRightInd w:val="0"/>
              <w:snapToGrid w:val="0"/>
              <w:spacing w:beforeLines="50" w:afterLines="50" w:line="240" w:lineRule="auto"/>
              <w:ind w:firstLine="0" w:firstLineChars="0"/>
              <w:jc w:val="center"/>
              <w:rPr>
                <w:rFonts w:eastAsia="宋体"/>
                <w:b/>
                <w:sz w:val="24"/>
              </w:rPr>
            </w:pPr>
            <w:r>
              <w:rPr>
                <w:rFonts w:eastAsia="宋体"/>
                <w:b/>
                <w:sz w:val="24"/>
              </w:rPr>
              <w:t>渔业</w:t>
            </w:r>
          </w:p>
          <w:p>
            <w:pPr>
              <w:adjustRightInd w:val="0"/>
              <w:snapToGrid w:val="0"/>
              <w:spacing w:beforeLines="50" w:afterLines="50" w:line="240" w:lineRule="auto"/>
              <w:ind w:firstLine="0" w:firstLineChars="0"/>
              <w:jc w:val="center"/>
              <w:rPr>
                <w:rFonts w:eastAsia="宋体"/>
                <w:b/>
                <w:sz w:val="24"/>
              </w:rPr>
            </w:pPr>
            <w:r>
              <w:rPr>
                <w:rFonts w:eastAsia="宋体"/>
                <w:b/>
                <w:sz w:val="24"/>
              </w:rPr>
              <w:t>休闲</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家庭</w:t>
            </w:r>
          </w:p>
          <w:p>
            <w:pPr>
              <w:adjustRightInd w:val="0"/>
              <w:snapToGrid w:val="0"/>
              <w:spacing w:beforeLines="50" w:afterLines="50" w:line="240" w:lineRule="auto"/>
              <w:ind w:firstLine="0" w:firstLineChars="0"/>
              <w:jc w:val="center"/>
              <w:rPr>
                <w:rFonts w:eastAsia="宋体"/>
                <w:b/>
                <w:sz w:val="24"/>
              </w:rPr>
            </w:pPr>
            <w:r>
              <w:rPr>
                <w:rFonts w:eastAsia="宋体"/>
                <w:b/>
                <w:sz w:val="24"/>
              </w:rPr>
              <w:t>亲子</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海洋</w:t>
            </w:r>
          </w:p>
          <w:p>
            <w:pPr>
              <w:adjustRightInd w:val="0"/>
              <w:snapToGrid w:val="0"/>
              <w:spacing w:beforeLines="50" w:afterLines="50" w:line="240" w:lineRule="auto"/>
              <w:ind w:firstLine="0" w:firstLineChars="0"/>
              <w:jc w:val="center"/>
              <w:rPr>
                <w:rFonts w:eastAsia="宋体"/>
                <w:b/>
                <w:sz w:val="24"/>
              </w:rPr>
            </w:pPr>
            <w:r>
              <w:rPr>
                <w:rFonts w:eastAsia="宋体"/>
                <w:b/>
                <w:sz w:val="24"/>
              </w:rPr>
              <w:t>乐园</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船艇</w:t>
            </w:r>
          </w:p>
          <w:p>
            <w:pPr>
              <w:adjustRightInd w:val="0"/>
              <w:snapToGrid w:val="0"/>
              <w:spacing w:beforeLines="50" w:afterLines="50" w:line="240" w:lineRule="auto"/>
              <w:ind w:firstLine="0" w:firstLineChars="0"/>
              <w:jc w:val="center"/>
              <w:rPr>
                <w:rFonts w:eastAsia="宋体"/>
                <w:b/>
                <w:sz w:val="24"/>
              </w:rPr>
            </w:pPr>
            <w:r>
              <w:rPr>
                <w:rFonts w:eastAsia="宋体"/>
                <w:b/>
                <w:sz w:val="24"/>
              </w:rPr>
              <w:t>旅游</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海洋</w:t>
            </w:r>
          </w:p>
          <w:p>
            <w:pPr>
              <w:adjustRightInd w:val="0"/>
              <w:snapToGrid w:val="0"/>
              <w:spacing w:beforeLines="50" w:afterLines="50" w:line="240" w:lineRule="auto"/>
              <w:ind w:firstLine="0" w:firstLineChars="0"/>
              <w:jc w:val="center"/>
              <w:rPr>
                <w:rFonts w:eastAsia="宋体"/>
                <w:b/>
                <w:sz w:val="24"/>
              </w:rPr>
            </w:pPr>
            <w:r>
              <w:rPr>
                <w:rFonts w:eastAsia="宋体"/>
                <w:b/>
                <w:sz w:val="24"/>
              </w:rPr>
              <w:t>探奇</w:t>
            </w:r>
          </w:p>
        </w:tc>
        <w:tc>
          <w:tcPr>
            <w:tcW w:w="333"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生态</w:t>
            </w:r>
          </w:p>
          <w:p>
            <w:pPr>
              <w:adjustRightInd w:val="0"/>
              <w:snapToGrid w:val="0"/>
              <w:spacing w:beforeLines="50" w:afterLines="50" w:line="240" w:lineRule="auto"/>
              <w:ind w:firstLine="0" w:firstLineChars="0"/>
              <w:jc w:val="center"/>
              <w:rPr>
                <w:rFonts w:eastAsia="宋体"/>
                <w:b/>
                <w:sz w:val="24"/>
              </w:rPr>
            </w:pPr>
            <w:r>
              <w:rPr>
                <w:rFonts w:eastAsia="宋体"/>
                <w:b/>
                <w:sz w:val="24"/>
              </w:rPr>
              <w:t>研学</w:t>
            </w:r>
          </w:p>
        </w:tc>
        <w:tc>
          <w:tcPr>
            <w:tcW w:w="334" w:type="dxa"/>
            <w:vAlign w:val="center"/>
          </w:tcPr>
          <w:p>
            <w:pPr>
              <w:adjustRightInd w:val="0"/>
              <w:snapToGrid w:val="0"/>
              <w:spacing w:beforeLines="50" w:afterLines="50" w:line="240" w:lineRule="auto"/>
              <w:ind w:firstLine="0" w:firstLineChars="0"/>
              <w:jc w:val="center"/>
              <w:rPr>
                <w:rFonts w:eastAsia="宋体"/>
                <w:b/>
                <w:sz w:val="24"/>
              </w:rPr>
            </w:pPr>
            <w:r>
              <w:rPr>
                <w:rFonts w:eastAsia="宋体"/>
                <w:b/>
                <w:sz w:val="24"/>
              </w:rPr>
              <w:t>商务</w:t>
            </w:r>
          </w:p>
          <w:p>
            <w:pPr>
              <w:adjustRightInd w:val="0"/>
              <w:snapToGrid w:val="0"/>
              <w:spacing w:beforeLines="50" w:afterLines="50" w:line="240" w:lineRule="auto"/>
              <w:ind w:firstLine="0" w:firstLineChars="0"/>
              <w:jc w:val="center"/>
              <w:rPr>
                <w:rFonts w:eastAsia="宋体"/>
                <w:b/>
                <w:sz w:val="24"/>
              </w:rPr>
            </w:pPr>
            <w:r>
              <w:rPr>
                <w:rFonts w:eastAsia="宋体"/>
                <w:b/>
                <w:sz w:val="24"/>
              </w:rPr>
              <w:t>培训</w:t>
            </w:r>
          </w:p>
        </w:tc>
        <w:tc>
          <w:tcPr>
            <w:tcW w:w="43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431" w:type="dxa"/>
            <w:vMerge w:val="continue"/>
            <w:vAlign w:val="top"/>
          </w:tcPr>
          <w:p>
            <w:pPr>
              <w:adjustRightInd w:val="0"/>
              <w:snapToGrid w:val="0"/>
              <w:spacing w:beforeLines="50" w:afterLines="50" w:line="240" w:lineRule="auto"/>
              <w:ind w:firstLine="0" w:firstLineChars="0"/>
              <w:jc w:val="center"/>
              <w:rPr>
                <w:rFonts w:eastAsia="宋体"/>
                <w:b/>
                <w:sz w:val="24"/>
              </w:rPr>
            </w:pPr>
          </w:p>
        </w:tc>
        <w:tc>
          <w:tcPr>
            <w:tcW w:w="811" w:type="dxa"/>
            <w:vMerge w:val="continue"/>
            <w:tcMar>
              <w:right w:w="57" w:type="dxa"/>
            </w:tcMar>
            <w:vAlign w:val="top"/>
          </w:tcPr>
          <w:p>
            <w:pPr>
              <w:adjustRightInd w:val="0"/>
              <w:snapToGrid w:val="0"/>
              <w:spacing w:beforeLines="50" w:afterLines="50" w:line="240" w:lineRule="auto"/>
              <w:ind w:firstLine="0" w:firstLineChars="0"/>
              <w:jc w:val="center"/>
              <w:rPr>
                <w:rFonts w:eastAsia="宋体"/>
                <w:b/>
                <w:sz w:val="24"/>
              </w:rPr>
            </w:pPr>
          </w:p>
        </w:tc>
        <w:tc>
          <w:tcPr>
            <w:tcW w:w="719" w:type="dxa"/>
            <w:vMerge w:val="continue"/>
            <w:vAlign w:val="top"/>
          </w:tcPr>
          <w:p>
            <w:pPr>
              <w:adjustRightInd w:val="0"/>
              <w:snapToGrid w:val="0"/>
              <w:spacing w:beforeLines="50" w:afterLines="50" w:line="240" w:lineRule="auto"/>
              <w:ind w:firstLine="0" w:firstLineChars="0"/>
              <w:jc w:val="center"/>
              <w:rPr>
                <w:rFonts w:eastAsia="宋体"/>
                <w:b/>
                <w:sz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广州</w:t>
            </w: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上横挡岛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18.42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下横挡岛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6.87</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凫洲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1.18</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深圳</w:t>
            </w: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赖氏洲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4.25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洲仔岛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0.70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珠海</w:t>
            </w: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大九洲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16.75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庙湾岛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142.96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48.56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横山岛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4.15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横岗岛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75.34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32.32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竹洲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160.84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33.81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小万山岛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426.64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28.22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三角岛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84.73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15.65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野狸岛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42.03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鸡笼岛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1.39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九州头岛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0.72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茶壶盖岛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0.29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西大排岛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0.33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横当岛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2.75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龙眼洲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1.85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竹湾头岛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37.53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黑洲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59.36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海濑洲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0.34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白沥岛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811.50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28.38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小三洲</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1.34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9.46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三门岛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85.96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渔女四岛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渔女三岛</w:t>
            </w:r>
          </w:p>
        </w:tc>
        <w:tc>
          <w:tcPr>
            <w:tcW w:w="81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gridSpan w:val="2"/>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大三洲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1.19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9.53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横沥岛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68.19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珠海洲仔岛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1.96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交杯岛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570.62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细岗洲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3.60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28.09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二洲岛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rFonts w:eastAsia="宋体"/>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816.55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28.51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直湾岛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453.21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细抯岛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60.81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34.92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大蜘洲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171.13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26.05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汕头</w:t>
            </w: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塔屿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2.73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6.81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猎屿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35.51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7.19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案屿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17.25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官屿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10.65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17.26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凤屿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33.12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狮仔屿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1.65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13.16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案仔屿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0.67</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9.49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德洲岛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12.68</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屐桃屿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1.98</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头发尾</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鸡心屿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1.26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龟山岛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2.80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惠州</w:t>
            </w: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惠东三角洲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8.93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大辣甲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179.42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4.81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小鹅洲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3.84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鹅洲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7.47</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坪峙岛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8.71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宝塔洲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5.71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潮洲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13.61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鹅公洲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1.54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虼仔洲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12.24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猫洲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4.12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虎洲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2.15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桑洲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59.03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坪峙仔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1.05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独洲仔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0.45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横排</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老虎排</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0.44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惠阳三杯酒</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0.25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白虼洲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鹅兜</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0.16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刀石洲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1.44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米塔仔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内园洲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2.86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内赤洲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0.50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白沙洲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12.74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惠阳赤洲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15.78</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牛头洲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5.95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6.54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惠阳横洲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21.16</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小星山</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118.99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4.58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浪咆屿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1"/>
                <w:szCs w:val="21"/>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1"/>
                <w:szCs w:val="21"/>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禁</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4.42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6.11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圣告岛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1"/>
                <w:szCs w:val="21"/>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1"/>
                <w:szCs w:val="21"/>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禁</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7.90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4.22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洪圣公</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7.52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小横洲</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18.61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1"/>
                <w:szCs w:val="21"/>
              </w:rPr>
            </w:pPr>
            <w:r>
              <w:rPr>
                <w:sz w:val="20"/>
                <w:szCs w:val="20"/>
              </w:rPr>
              <w:t>汕尾</w:t>
            </w: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遮浪岩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11.50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龟龄岛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18.23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3.12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头滩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0.37</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冬瓜屿</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1.42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犁壁</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0.55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内乌滩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0.92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虎头</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2.80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乌滩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0.22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平滩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0.19</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二滩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三滩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卵石</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0.04</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海猪仔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大泵</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三姐妹石</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拦门</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东头尖</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田寮岛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四石柱四岛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四石柱岛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散石北岛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蛤彭仔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汕尾尖石</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0.11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青岛尾</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0.91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燕坞群滩</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0.02</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尖石仔</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0.00</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三脚虎</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0.05</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青鸟尾南岛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0.03</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鸡心石三岛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1"/>
                <w:szCs w:val="21"/>
              </w:rPr>
            </w:pPr>
          </w:p>
        </w:tc>
        <w:tc>
          <w:tcPr>
            <w:tcW w:w="956" w:type="dxa"/>
            <w:vAlign w:val="center"/>
          </w:tcPr>
          <w:p>
            <w:pPr>
              <w:adjustRightInd w:val="0"/>
              <w:snapToGrid w:val="0"/>
              <w:spacing w:beforeLines="50" w:afterLines="50" w:line="240" w:lineRule="auto"/>
              <w:ind w:firstLine="0" w:firstLineChars="0"/>
              <w:jc w:val="center"/>
              <w:rPr>
                <w:sz w:val="21"/>
                <w:szCs w:val="21"/>
              </w:rPr>
            </w:pPr>
            <w:r>
              <w:rPr>
                <w:sz w:val="20"/>
                <w:szCs w:val="20"/>
              </w:rPr>
              <w:t>鸡心石五岛</w:t>
            </w:r>
          </w:p>
        </w:tc>
        <w:tc>
          <w:tcPr>
            <w:tcW w:w="814" w:type="dxa"/>
            <w:vAlign w:val="center"/>
          </w:tcPr>
          <w:p>
            <w:pPr>
              <w:adjustRightInd w:val="0"/>
              <w:snapToGrid w:val="0"/>
              <w:spacing w:beforeLines="50" w:afterLines="50" w:line="240" w:lineRule="auto"/>
              <w:ind w:firstLine="0" w:firstLineChars="0"/>
              <w:jc w:val="center"/>
              <w:rPr>
                <w:sz w:val="21"/>
                <w:szCs w:val="21"/>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1"/>
                <w:szCs w:val="21"/>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1"/>
                <w:szCs w:val="21"/>
              </w:rPr>
            </w:pPr>
            <w:r>
              <w:rPr>
                <w:sz w:val="22"/>
                <w:szCs w:val="22"/>
              </w:rPr>
              <w:t>0.01</w:t>
            </w:r>
          </w:p>
        </w:tc>
        <w:tc>
          <w:tcPr>
            <w:tcW w:w="719" w:type="dxa"/>
            <w:vAlign w:val="center"/>
          </w:tcPr>
          <w:p>
            <w:pPr>
              <w:adjustRightInd w:val="0"/>
              <w:snapToGrid w:val="0"/>
              <w:spacing w:beforeLines="50" w:afterLines="50" w:line="240" w:lineRule="auto"/>
              <w:ind w:firstLine="0" w:firstLineChars="0"/>
              <w:jc w:val="right"/>
              <w:rPr>
                <w:sz w:val="21"/>
                <w:szCs w:val="21"/>
              </w:rPr>
            </w:pPr>
            <w:r>
              <w:rPr>
                <w:sz w:val="22"/>
                <w:szCs w:val="22"/>
              </w:rPr>
              <w:t>5.36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海丰鸡心石</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top"/>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4" w:type="dxa"/>
            <w:vAlign w:val="center"/>
          </w:tcPr>
          <w:p>
            <w:pPr>
              <w:adjustRightInd w:val="0"/>
              <w:snapToGrid w:val="0"/>
              <w:spacing w:beforeLines="50" w:afterLines="50" w:line="240" w:lineRule="auto"/>
              <w:ind w:firstLine="0" w:firstLineChars="0"/>
              <w:jc w:val="center"/>
              <w:rPr>
                <w:sz w:val="21"/>
                <w:szCs w:val="21"/>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1.32</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5.01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担仔</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0.00</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260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江牡岛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51.88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3.69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0"/>
                <w:szCs w:val="20"/>
              </w:rPr>
            </w:pPr>
            <w:r>
              <w:rPr>
                <w:sz w:val="20"/>
                <w:szCs w:val="20"/>
              </w:rPr>
              <w:t>江门</w:t>
            </w: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王府洲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185.21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17.29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乌猪洲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1"/>
                <w:szCs w:val="21"/>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禁</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546.13</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26.12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坪洲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85.53</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17.87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琵琶洲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38.54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观鱼洲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26.67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15.16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格勒岛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1.14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19.06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山猪洲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1"/>
                <w:szCs w:val="21"/>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8.97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18.63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马骝公岛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2.45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墨斗岛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8.13</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21.86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高冠洲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3.99</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22.54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宝鸭洲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0.97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18.69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狗尾岛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1"/>
                <w:szCs w:val="21"/>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0.99</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16.11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大风北岛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1"/>
                <w:szCs w:val="21"/>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0.79</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16.24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大招头岛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0.17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17.99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磴口排</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0.28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18.85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神灶岛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0.21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飞沙洲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2.53</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21.58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鸦洲岛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44.85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台山白鹤洲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10.71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狮子洲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4.74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小郁头山岛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1.45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铜鼓排</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1.94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二崖岛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3.98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独崖岛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8.04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小风北岛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0.18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16.36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0"/>
                <w:szCs w:val="20"/>
              </w:rPr>
            </w:pPr>
            <w:r>
              <w:rPr>
                <w:sz w:val="20"/>
                <w:szCs w:val="20"/>
              </w:rPr>
              <w:t>阳江</w:t>
            </w: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南鹏岛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163.98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16.96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阳西青洲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禁</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32.65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大树岛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禁</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16.90</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老鼠山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6.82</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7.08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三山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6.16</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9.97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龟山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10.56</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梨壁岭</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9.12</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马尾大洲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5.01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6.81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马尾洲仔</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3.57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6.57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寺仔山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3.19</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9.63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鸦洲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3.14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5.9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西寺仔山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0.36</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4.49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大镬岛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79.14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13.01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二镬岛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岛群协同</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54.25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14.45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鸡母岭</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2.67</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阳西大洲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0.11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龟岭</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8.95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0"/>
                <w:szCs w:val="20"/>
              </w:rPr>
            </w:pPr>
            <w:r>
              <w:rPr>
                <w:sz w:val="20"/>
                <w:szCs w:val="20"/>
              </w:rPr>
              <w:t>湛江</w:t>
            </w: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罗斗沙</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178.74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一墩</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8.11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三墩</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3.80</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赤豆寮岛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139.85</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二墩</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中</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2.98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鲎沙</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139.64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15.01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鸡笼山</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3.38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橹时墩</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0.33</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restart"/>
            <w:vAlign w:val="center"/>
          </w:tcPr>
          <w:p>
            <w:pPr>
              <w:adjustRightInd w:val="0"/>
              <w:snapToGrid w:val="0"/>
              <w:spacing w:beforeLines="50" w:afterLines="50" w:line="240" w:lineRule="auto"/>
              <w:ind w:firstLine="0" w:firstLineChars="0"/>
              <w:jc w:val="center"/>
              <w:rPr>
                <w:sz w:val="20"/>
                <w:szCs w:val="20"/>
              </w:rPr>
            </w:pPr>
            <w:r>
              <w:rPr>
                <w:sz w:val="20"/>
                <w:szCs w:val="20"/>
              </w:rPr>
              <w:t>茂名</w:t>
            </w: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放鸡岛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近</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有</w:t>
            </w: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117.88</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7.18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电白三洲</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岛岸互动</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8.64</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Merge w:val="continue"/>
            <w:vAlign w:val="center"/>
          </w:tcPr>
          <w:p>
            <w:pPr>
              <w:adjustRightInd w:val="0"/>
              <w:snapToGrid w:val="0"/>
              <w:spacing w:beforeLines="50" w:afterLines="50" w:line="240" w:lineRule="auto"/>
              <w:ind w:firstLine="0" w:firstLineChars="0"/>
              <w:jc w:val="center"/>
              <w:rPr>
                <w:sz w:val="20"/>
                <w:szCs w:val="20"/>
              </w:rPr>
            </w:pP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放鸡仔岛</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独岛领潮</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9.61</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301" w:type="dxa"/>
            <w:vAlign w:val="center"/>
          </w:tcPr>
          <w:p>
            <w:pPr>
              <w:adjustRightInd w:val="0"/>
              <w:snapToGrid w:val="0"/>
              <w:spacing w:beforeLines="50" w:afterLines="50" w:line="240" w:lineRule="auto"/>
              <w:ind w:firstLine="0" w:firstLineChars="0"/>
              <w:jc w:val="center"/>
              <w:rPr>
                <w:sz w:val="20"/>
                <w:szCs w:val="20"/>
              </w:rPr>
            </w:pPr>
            <w:r>
              <w:rPr>
                <w:sz w:val="20"/>
                <w:szCs w:val="20"/>
              </w:rPr>
              <w:t>潮州</w:t>
            </w:r>
          </w:p>
        </w:tc>
        <w:tc>
          <w:tcPr>
            <w:tcW w:w="956" w:type="dxa"/>
            <w:vAlign w:val="center"/>
          </w:tcPr>
          <w:p>
            <w:pPr>
              <w:adjustRightInd w:val="0"/>
              <w:snapToGrid w:val="0"/>
              <w:spacing w:beforeLines="50" w:afterLines="50" w:line="240" w:lineRule="auto"/>
              <w:ind w:firstLine="0" w:firstLineChars="0"/>
              <w:jc w:val="center"/>
              <w:rPr>
                <w:sz w:val="20"/>
                <w:szCs w:val="20"/>
              </w:rPr>
            </w:pPr>
            <w:r>
              <w:rPr>
                <w:sz w:val="20"/>
                <w:szCs w:val="20"/>
              </w:rPr>
              <w:t>圆屿</w:t>
            </w:r>
          </w:p>
        </w:tc>
        <w:tc>
          <w:tcPr>
            <w:tcW w:w="814" w:type="dxa"/>
            <w:vAlign w:val="center"/>
          </w:tcPr>
          <w:p>
            <w:pPr>
              <w:adjustRightInd w:val="0"/>
              <w:snapToGrid w:val="0"/>
              <w:spacing w:beforeLines="50" w:afterLines="50" w:line="240" w:lineRule="auto"/>
              <w:ind w:firstLine="0" w:firstLineChars="0"/>
              <w:jc w:val="center"/>
              <w:rPr>
                <w:sz w:val="20"/>
                <w:szCs w:val="20"/>
              </w:rPr>
            </w:pPr>
            <w:r>
              <w:rPr>
                <w:sz w:val="20"/>
                <w:szCs w:val="20"/>
              </w:rPr>
              <w:t>大小互补</w:t>
            </w: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gridSpan w:val="2"/>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top"/>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3" w:type="dxa"/>
            <w:vAlign w:val="center"/>
          </w:tcPr>
          <w:p>
            <w:pPr>
              <w:adjustRightInd w:val="0"/>
              <w:snapToGrid w:val="0"/>
              <w:spacing w:beforeLines="50" w:afterLines="50" w:line="240" w:lineRule="auto"/>
              <w:ind w:firstLine="0" w:firstLineChars="0"/>
              <w:jc w:val="center"/>
              <w:rPr>
                <w:sz w:val="20"/>
                <w:szCs w:val="20"/>
              </w:rPr>
            </w:pPr>
          </w:p>
        </w:tc>
        <w:tc>
          <w:tcPr>
            <w:tcW w:w="333" w:type="dxa"/>
            <w:vAlign w:val="center"/>
          </w:tcPr>
          <w:p>
            <w:pPr>
              <w:adjustRightInd w:val="0"/>
              <w:snapToGrid w:val="0"/>
              <w:spacing w:beforeLines="50" w:afterLines="50" w:line="240" w:lineRule="auto"/>
              <w:ind w:firstLine="0" w:firstLineChars="0"/>
              <w:jc w:val="center"/>
              <w:rPr>
                <w:sz w:val="20"/>
                <w:szCs w:val="20"/>
              </w:rPr>
            </w:pPr>
            <w:r>
              <w:rPr>
                <w:sz w:val="20"/>
                <w:szCs w:val="20"/>
              </w:rPr>
              <w:t>√</w:t>
            </w:r>
          </w:p>
        </w:tc>
        <w:tc>
          <w:tcPr>
            <w:tcW w:w="334" w:type="dxa"/>
            <w:vAlign w:val="center"/>
          </w:tcPr>
          <w:p>
            <w:pPr>
              <w:adjustRightInd w:val="0"/>
              <w:snapToGrid w:val="0"/>
              <w:spacing w:beforeLines="50" w:afterLines="50" w:line="240" w:lineRule="auto"/>
              <w:ind w:firstLine="0" w:firstLineChars="0"/>
              <w:jc w:val="center"/>
              <w:rPr>
                <w:sz w:val="20"/>
                <w:szCs w:val="20"/>
              </w:rPr>
            </w:pPr>
          </w:p>
        </w:tc>
        <w:tc>
          <w:tcPr>
            <w:tcW w:w="431" w:type="dxa"/>
            <w:vAlign w:val="center"/>
          </w:tcPr>
          <w:p>
            <w:pPr>
              <w:adjustRightInd w:val="0"/>
              <w:snapToGrid w:val="0"/>
              <w:spacing w:beforeLines="50" w:afterLines="50" w:line="240" w:lineRule="auto"/>
              <w:ind w:firstLine="0" w:firstLineChars="0"/>
              <w:jc w:val="center"/>
              <w:rPr>
                <w:sz w:val="20"/>
                <w:szCs w:val="20"/>
              </w:rPr>
            </w:pPr>
            <w:r>
              <w:rPr>
                <w:sz w:val="20"/>
                <w:szCs w:val="20"/>
              </w:rPr>
              <w:t>远</w:t>
            </w:r>
          </w:p>
        </w:tc>
        <w:tc>
          <w:tcPr>
            <w:tcW w:w="431" w:type="dxa"/>
            <w:vAlign w:val="center"/>
          </w:tcPr>
          <w:p>
            <w:pPr>
              <w:adjustRightInd w:val="0"/>
              <w:snapToGrid w:val="0"/>
              <w:spacing w:beforeLines="50" w:afterLines="50" w:line="240" w:lineRule="auto"/>
              <w:ind w:firstLine="0" w:firstLineChars="0"/>
              <w:jc w:val="center"/>
              <w:rPr>
                <w:sz w:val="20"/>
                <w:szCs w:val="20"/>
              </w:rPr>
            </w:pPr>
          </w:p>
        </w:tc>
        <w:tc>
          <w:tcPr>
            <w:tcW w:w="811" w:type="dxa"/>
            <w:tcMar>
              <w:right w:w="57" w:type="dxa"/>
            </w:tcMar>
            <w:vAlign w:val="center"/>
          </w:tcPr>
          <w:p>
            <w:pPr>
              <w:adjustRightInd w:val="0"/>
              <w:snapToGrid w:val="0"/>
              <w:spacing w:beforeLines="50" w:afterLines="50" w:line="240" w:lineRule="auto"/>
              <w:ind w:firstLine="0" w:firstLineChars="0"/>
              <w:jc w:val="right"/>
              <w:rPr>
                <w:sz w:val="22"/>
                <w:szCs w:val="22"/>
              </w:rPr>
            </w:pPr>
            <w:r>
              <w:rPr>
                <w:sz w:val="22"/>
                <w:szCs w:val="22"/>
              </w:rPr>
              <w:t>1.52</w:t>
            </w:r>
          </w:p>
        </w:tc>
        <w:tc>
          <w:tcPr>
            <w:tcW w:w="719" w:type="dxa"/>
            <w:vAlign w:val="center"/>
          </w:tcPr>
          <w:p>
            <w:pPr>
              <w:adjustRightInd w:val="0"/>
              <w:snapToGrid w:val="0"/>
              <w:spacing w:beforeLines="50" w:afterLines="50" w:line="240" w:lineRule="auto"/>
              <w:ind w:firstLine="0" w:firstLineChars="0"/>
              <w:jc w:val="right"/>
              <w:rPr>
                <w:sz w:val="22"/>
                <w:szCs w:val="22"/>
              </w:rPr>
            </w:pPr>
            <w:r>
              <w:rPr>
                <w:sz w:val="22"/>
                <w:szCs w:val="22"/>
              </w:rPr>
              <w:t>5.26</w:t>
            </w:r>
          </w:p>
        </w:tc>
      </w:tr>
    </w:tbl>
    <w:p>
      <w:pPr>
        <w:spacing w:line="600" w:lineRule="exact"/>
        <w:ind w:firstLine="560"/>
        <w:rPr>
          <w:sz w:val="28"/>
        </w:rPr>
      </w:pPr>
      <w:r>
        <w:rPr>
          <w:sz w:val="28"/>
        </w:rPr>
        <w:t>注1：表中“√”为建议发展，表中“</w:t>
      </w:r>
      <w:r>
        <w:rPr>
          <w:b/>
          <w:bCs/>
          <w:sz w:val="28"/>
        </w:rPr>
        <w:t>□</w:t>
      </w:r>
      <w:r>
        <w:rPr>
          <w:sz w:val="28"/>
        </w:rPr>
        <w:t>”为不建议发展，表中“×”为禁止发展。</w:t>
      </w:r>
    </w:p>
    <w:p>
      <w:pPr>
        <w:spacing w:line="600" w:lineRule="exact"/>
        <w:ind w:firstLine="560"/>
        <w:rPr>
          <w:sz w:val="28"/>
        </w:rPr>
        <w:sectPr>
          <w:pgSz w:w="11906" w:h="16838"/>
          <w:pgMar w:top="1797" w:right="1531" w:bottom="1797" w:left="1531" w:header="851" w:footer="1304" w:gutter="0"/>
          <w:pgNumType w:start="1"/>
          <w:cols w:space="720" w:num="1"/>
          <w:docGrid w:linePitch="583" w:charSpace="804"/>
        </w:sectPr>
      </w:pPr>
      <w:r>
        <w:rPr>
          <w:sz w:val="28"/>
        </w:rPr>
        <w:t>注2：表中“开发限制”一栏指至规划发布之日为止公布的广东省海洋生态红线及县级以上的自然保护区、湿地公园、森林公园。利用岛屿开展旅游活动前应核实上述限制条件以及其他各项限制条件。</w:t>
      </w:r>
    </w:p>
    <w:p>
      <w:pPr>
        <w:pStyle w:val="93"/>
        <w:spacing w:before="0"/>
        <w:ind w:left="0"/>
        <w:rPr>
          <w:rFonts w:ascii="Times New Roman" w:hAnsi="Times New Roman" w:cs="Times New Roman"/>
        </w:rPr>
      </w:pPr>
      <w:bookmarkStart w:id="60" w:name="_Toc473100509"/>
      <w:bookmarkStart w:id="61" w:name="_Toc6204"/>
      <w:r>
        <w:rPr>
          <w:rFonts w:ascii="Times New Roman" w:hAnsi="Times New Roman" w:cs="Times New Roman"/>
        </w:rPr>
        <w:t>附表3：广东海岛旅游发展近期重大项目一览</w:t>
      </w:r>
      <w:bookmarkEnd w:id="60"/>
      <w:r>
        <w:rPr>
          <w:rFonts w:ascii="Times New Roman" w:hAnsi="Times New Roman" w:cs="Times New Roman"/>
        </w:rPr>
        <w:t>表</w:t>
      </w:r>
      <w:bookmarkEnd w:id="61"/>
    </w:p>
    <w:tbl>
      <w:tblPr>
        <w:tblStyle w:val="35"/>
        <w:tblW w:w="1393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6"/>
        <w:gridCol w:w="655"/>
        <w:gridCol w:w="549"/>
        <w:gridCol w:w="1703"/>
        <w:gridCol w:w="569"/>
        <w:gridCol w:w="6814"/>
        <w:gridCol w:w="992"/>
        <w:gridCol w:w="1268"/>
        <w:gridCol w:w="1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Header/>
        </w:trPr>
        <w:tc>
          <w:tcPr>
            <w:tcW w:w="1321" w:type="dxa"/>
            <w:gridSpan w:val="2"/>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项目类型</w:t>
            </w:r>
          </w:p>
        </w:tc>
        <w:tc>
          <w:tcPr>
            <w:tcW w:w="549"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城市</w:t>
            </w:r>
          </w:p>
        </w:tc>
        <w:tc>
          <w:tcPr>
            <w:tcW w:w="1703"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项目名称</w:t>
            </w:r>
          </w:p>
        </w:tc>
        <w:tc>
          <w:tcPr>
            <w:tcW w:w="569"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建设</w:t>
            </w:r>
            <w:r>
              <w:rPr>
                <w:rStyle w:val="146"/>
                <w:rFonts w:ascii="Times New Roman" w:hAnsi="Times New Roman" w:eastAsia="仿宋_GB2312" w:cs="Times New Roman"/>
                <w:sz w:val="24"/>
              </w:rPr>
              <w:br/>
            </w:r>
            <w:r>
              <w:rPr>
                <w:rStyle w:val="146"/>
                <w:rFonts w:ascii="Times New Roman" w:hAnsi="Times New Roman" w:eastAsia="仿宋_GB2312" w:cs="Times New Roman"/>
                <w:sz w:val="24"/>
              </w:rPr>
              <w:t>性质</w:t>
            </w:r>
          </w:p>
        </w:tc>
        <w:tc>
          <w:tcPr>
            <w:tcW w:w="6814"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主要建设内容及规模</w:t>
            </w:r>
          </w:p>
        </w:tc>
        <w:tc>
          <w:tcPr>
            <w:tcW w:w="992"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总投资</w:t>
            </w:r>
            <w:r>
              <w:rPr>
                <w:rStyle w:val="146"/>
                <w:rFonts w:ascii="Times New Roman" w:hAnsi="Times New Roman" w:eastAsia="仿宋_GB2312" w:cs="Times New Roman"/>
                <w:sz w:val="24"/>
              </w:rPr>
              <w:br/>
            </w:r>
            <w:r>
              <w:rPr>
                <w:rStyle w:val="146"/>
                <w:rFonts w:ascii="Times New Roman" w:hAnsi="Times New Roman" w:eastAsia="仿宋_GB2312" w:cs="Times New Roman"/>
                <w:sz w:val="24"/>
              </w:rPr>
              <w:t>(万元)</w:t>
            </w:r>
          </w:p>
        </w:tc>
        <w:tc>
          <w:tcPr>
            <w:tcW w:w="1279" w:type="dxa"/>
            <w:gridSpan w:val="2"/>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建设起止</w:t>
            </w:r>
            <w:r>
              <w:rPr>
                <w:rStyle w:val="146"/>
                <w:rFonts w:ascii="Times New Roman" w:hAnsi="Times New Roman" w:eastAsia="仿宋_GB2312" w:cs="Times New Roman"/>
                <w:sz w:val="24"/>
              </w:rPr>
              <w:br/>
            </w:r>
            <w:r>
              <w:rPr>
                <w:rStyle w:val="146"/>
                <w:rFonts w:ascii="Times New Roman" w:hAnsi="Times New Roman" w:eastAsia="仿宋_GB2312" w:cs="Times New Roman"/>
                <w:sz w:val="24"/>
              </w:rPr>
              <w:t>年限</w:t>
            </w:r>
          </w:p>
        </w:tc>
        <w:tc>
          <w:tcPr>
            <w:tcW w:w="708" w:type="dxa"/>
            <w:shd w:val="clear" w:color="auto" w:fill="D9D9D9"/>
            <w:vAlign w:val="center"/>
          </w:tcPr>
          <w:p>
            <w:pPr>
              <w:snapToGrid w:val="0"/>
              <w:spacing w:line="320" w:lineRule="exact"/>
              <w:ind w:firstLine="0" w:firstLineChars="0"/>
              <w:jc w:val="center"/>
              <w:rPr>
                <w:rStyle w:val="146"/>
                <w:rFonts w:ascii="Times New Roman" w:hAnsi="Times New Roman" w:eastAsia="仿宋_GB2312" w:cs="Times New Roman"/>
                <w:sz w:val="24"/>
              </w:rPr>
            </w:pPr>
            <w:r>
              <w:rPr>
                <w:rStyle w:val="146"/>
                <w:rFonts w:ascii="Times New Roman" w:hAnsi="Times New Roman" w:eastAsia="仿宋_GB2312" w:cs="Times New Roman"/>
                <w:sz w:val="24"/>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935" w:type="dxa"/>
            <w:gridSpan w:val="10"/>
            <w:vAlign w:val="top"/>
          </w:tcPr>
          <w:p>
            <w:pPr>
              <w:pStyle w:val="95"/>
              <w:spacing w:before="0" w:after="0" w:line="360" w:lineRule="exact"/>
              <w:jc w:val="left"/>
              <w:rPr>
                <w:rFonts w:eastAsia="仿宋_GB2312" w:cs="Times New Roman"/>
                <w:b/>
                <w:szCs w:val="24"/>
              </w:rPr>
            </w:pPr>
            <w:r>
              <w:rPr>
                <w:rFonts w:eastAsia="仿宋_GB2312" w:cs="Times New Roman"/>
                <w:b/>
                <w:szCs w:val="24"/>
              </w:rPr>
              <w:t>一、旅游基础设施建设项目24项，总投资额149亿元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27" w:hRule="atLeast"/>
        </w:trPr>
        <w:tc>
          <w:tcPr>
            <w:tcW w:w="666"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桥头堡建设</w:t>
            </w: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一级桥头堡建设</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深圳</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51"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汕尾</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惠州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江门</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陆域一级桥头堡建设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新建或续建一级桥头堡。建设邮轮码头、公共码头、综合服务区、私家游艇停泊区等设施，完善游艇租赁设施及海上公共交通渡轮服务设施。每个一级桥头堡占地面积20公顷，建筑面积约20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二级桥头堡建设</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广州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汕头</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湛江</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茂名</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潮州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海陵岛二级桥头堡建设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汕头</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南澳岛二级桥头堡建设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江门</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下川岛二级桥头堡建设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根据现有岸上设施情况设置二级桥头堡。建设综合服务区、私家艇停泊区，提供游艇租赁服务、海上公共交通渡轮等功能。每个二级桥头堡占地面积10公顷，建筑面积约10万平方米。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三级桥头堡建设</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东莞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中山</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揭阳</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陆域三级桥头堡建设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横琴岛及周边小岛综合旅游区三级桥头堡建设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万山岛及周边小岛综合旅游区三级桥头堡建设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大九洲岛群综合旅游区三级桥头堡建设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惠州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大辣甲岛群生态旅游区三级桥头堡建设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15"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南鹏岛岛群综合旅游区三级桥头堡建设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275" w:hRule="atLeast"/>
        </w:trPr>
        <w:tc>
          <w:tcPr>
            <w:tcW w:w="666"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655" w:type="dxa"/>
            <w:vMerge w:val="continue"/>
            <w:shd w:val="clear" w:color="auto" w:fill="auto"/>
            <w:vAlign w:val="center"/>
          </w:tcPr>
          <w:p>
            <w:pPr>
              <w:pStyle w:val="95"/>
              <w:spacing w:before="0" w:after="0" w:line="360" w:lineRule="exact"/>
              <w:jc w:val="center"/>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潮州</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西澳岛-汛洲岛生态旅游区三级桥头堡建设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top"/>
          </w:tcPr>
          <w:p>
            <w:pPr>
              <w:pStyle w:val="95"/>
              <w:spacing w:before="0" w:after="0" w:line="360" w:lineRule="exact"/>
              <w:jc w:val="left"/>
              <w:rPr>
                <w:rFonts w:eastAsia="仿宋_GB2312" w:cs="Times New Roman"/>
                <w:szCs w:val="24"/>
              </w:rPr>
            </w:pPr>
            <w:r>
              <w:rPr>
                <w:rFonts w:eastAsia="仿宋_GB2312" w:cs="Times New Roman"/>
                <w:szCs w:val="24"/>
              </w:rPr>
              <w:t>根据现有岸上设施情况设置三级桥头堡。建设小型服务区、私家艇停泊区，完善游艇租赁设施及海上公共交通渡轮服务设施。每个三级桥头堡占地面积5公顷，建筑面积约5万平方米。</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21" w:type="dxa"/>
            <w:gridSpan w:val="2"/>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航线建设</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w:t>
            </w:r>
          </w:p>
        </w:tc>
        <w:tc>
          <w:tcPr>
            <w:tcW w:w="1703"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旅游航线建设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jc w:val="left"/>
              <w:rPr>
                <w:rFonts w:eastAsia="仿宋_GB2312" w:cs="Times New Roman"/>
                <w:szCs w:val="24"/>
              </w:rPr>
            </w:pPr>
            <w:r>
              <w:rPr>
                <w:rFonts w:eastAsia="仿宋_GB2312" w:cs="Times New Roman"/>
                <w:szCs w:val="24"/>
              </w:rPr>
              <w:t>根据广东沿海航线设置具体情况完善旅游航线建设，配套完善航线所需公共服务设施。共设置36条航线。</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180000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935" w:type="dxa"/>
            <w:gridSpan w:val="10"/>
            <w:vAlign w:val="top"/>
          </w:tcPr>
          <w:p>
            <w:pPr>
              <w:pStyle w:val="95"/>
              <w:spacing w:before="0" w:after="0" w:line="360" w:lineRule="exact"/>
              <w:jc w:val="left"/>
              <w:rPr>
                <w:rFonts w:eastAsia="仿宋_GB2312" w:cs="Times New Roman"/>
                <w:b/>
                <w:szCs w:val="24"/>
              </w:rPr>
            </w:pPr>
            <w:r>
              <w:rPr>
                <w:rFonts w:eastAsia="仿宋_GB2312" w:cs="Times New Roman"/>
                <w:b/>
                <w:szCs w:val="24"/>
              </w:rPr>
              <w:t>二、旅游景区建设项目26项，总投资额75亿元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岛屿旅游服务配套建设项目</w:t>
            </w: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岛岸联动模式</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淇澳岛旅游区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现有设施提质升级。</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8000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东莞</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威远岛旅游区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建设完善观光平台及餐饮服务设施。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8000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广州</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海鸥岛旅游区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完善观光平台及游步道。</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潮州</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西澳岛-汛洲岛生态旅游区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完善观光平台、游步道等旅游服务设施。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2"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湛江</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湛江五岛休闲度假区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建设环岛公路、游艇俱乐部、湖村滨海旅游示范区、广州湾国际旅游城、国际帆船港、海洋主题公园。</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170000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40"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深圳</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赖氏洲生态旅游度假区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完善现有旅游服务设施、增加生活污水净化设施及生活垃圾处理设施各一处。</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汕尾</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遮浪岩旅游区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建设发电设施，海水净化设施。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2017-2018</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深圳</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洲仔岛旅游区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建设码头及休息平台。</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2017-2018</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惠州</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惠东三角洲生态旅游区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前期研究。</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36"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大小互补模式</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横琴岛及周边小岛综合旅游区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水上飞板体验中心、潜水体验中心、水上降落伞体验中心、水上三角翼体验中心、广东省海洋综合展览馆。</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海陵岛及周边小岛综合旅游区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海洋公园、帆船基地、潜水训练基地、游艇码头、特色度假酒店。</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汕头</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南澳岛及周边小岛综合旅游区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南澳岛“世界文化遗产”申报、南澳一号博物馆。</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江门</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上下川岛及周边小岛综合旅游区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完善建设项目，包括岛上游步道、监控系统完善工程、景区主干道改造建设工程等。</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万山岛及周边小岛综合旅游区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完善旅游服务设施，建设高端特色度假酒店。</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35000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东澳岛及周边小岛综合旅游区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针对现有设施进行提质升级，并增设海上牧场休闲体验项目。</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岛群协同模式</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大九洲岛群综合旅游区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大九洲海岛度假设施升级改造，龙眼洲、鸡笼岛、横当岛高端度假设施建设。</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75000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auto" w:fill="auto"/>
            <w:vAlign w:val="center"/>
          </w:tcPr>
          <w:p>
            <w:pPr>
              <w:pStyle w:val="95"/>
              <w:spacing w:before="0" w:after="0" w:line="360" w:lineRule="exact"/>
              <w:rPr>
                <w:rFonts w:eastAsia="仿宋_GB2312" w:cs="Times New Roman"/>
                <w:szCs w:val="24"/>
              </w:rPr>
            </w:pPr>
            <w:r>
              <w:rPr>
                <w:rFonts w:eastAsia="仿宋_GB2312" w:cs="Times New Roman"/>
                <w:szCs w:val="24"/>
              </w:rPr>
              <w:t>汕尾</w:t>
            </w:r>
          </w:p>
        </w:tc>
        <w:tc>
          <w:tcPr>
            <w:tcW w:w="1703" w:type="dxa"/>
            <w:shd w:val="clear" w:color="auto" w:fill="auto"/>
            <w:vAlign w:val="center"/>
          </w:tcPr>
          <w:p>
            <w:pPr>
              <w:pStyle w:val="95"/>
              <w:spacing w:before="0" w:after="0" w:line="320" w:lineRule="exact"/>
              <w:rPr>
                <w:rFonts w:eastAsia="仿宋_GB2312" w:cs="Times New Roman"/>
                <w:szCs w:val="24"/>
              </w:rPr>
            </w:pPr>
            <w:r>
              <w:rPr>
                <w:rFonts w:eastAsia="仿宋_GB2312" w:cs="Times New Roman"/>
                <w:szCs w:val="24"/>
              </w:rPr>
              <w:t>龟龄岛岛群综合旅游区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建设高端度假设施、高端禅修设施。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80000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三门岛岛群综合旅游区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建设高端度假设施、高端禅修设施。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15000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南鹏岛岛群综合旅游区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建设文化体验设施、生态旅游设施、海洋生物科普宣教设施。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惠州</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大辣甲岛群生态旅游区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前期研究。</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庙湾岛岛群生态旅游区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前期研究。</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restart"/>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独岛领潮模式</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外伶仃岛综合旅游区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现有度假设施提质升级。</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茂名</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放鸡岛旅游区建设提升</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完善旅游服务设施建设，建设精品度假设施。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70000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湛江</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罗斗沙生态旅游区</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污水处理及垃圾处理设施。</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3000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restart"/>
            <w:shd w:val="clear" w:color="auto" w:fill="auto"/>
            <w:vAlign w:val="center"/>
          </w:tcPr>
          <w:p>
            <w:pPr>
              <w:pStyle w:val="95"/>
              <w:spacing w:before="0" w:after="0" w:line="360" w:lineRule="exact"/>
              <w:rPr>
                <w:rFonts w:eastAsia="仿宋_GB2312" w:cs="Times New Roman"/>
                <w:szCs w:val="24"/>
              </w:rPr>
            </w:pPr>
            <w:r>
              <w:rPr>
                <w:rFonts w:eastAsia="仿宋_GB2312" w:cs="Times New Roman"/>
                <w:szCs w:val="24"/>
              </w:rPr>
              <w:t>其他</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揭阳</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石碑山角领海基点主题公园</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前期研究（石碑山角领海基点主题公园位于陆域之上）。</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vMerge w:val="continue"/>
            <w:shd w:val="clear" w:color="auto" w:fill="auto"/>
            <w:vAlign w:val="center"/>
          </w:tcPr>
          <w:p>
            <w:pPr>
              <w:pStyle w:val="95"/>
              <w:spacing w:before="0" w:after="0" w:line="360" w:lineRule="exact"/>
              <w:rPr>
                <w:rFonts w:eastAsia="仿宋_GB2312" w:cs="Times New Roman"/>
                <w:szCs w:val="24"/>
              </w:rPr>
            </w:pP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中山</w:t>
            </w:r>
          </w:p>
        </w:tc>
        <w:tc>
          <w:tcPr>
            <w:tcW w:w="1703" w:type="dxa"/>
            <w:shd w:val="clear" w:color="000000" w:fill="FFFFFF"/>
            <w:vAlign w:val="center"/>
          </w:tcPr>
          <w:p>
            <w:pPr>
              <w:pStyle w:val="95"/>
              <w:spacing w:before="0" w:after="0" w:line="320" w:lineRule="exact"/>
              <w:rPr>
                <w:rFonts w:eastAsia="仿宋_GB2312" w:cs="Times New Roman"/>
                <w:szCs w:val="24"/>
              </w:rPr>
            </w:pPr>
            <w:r>
              <w:rPr>
                <w:rFonts w:eastAsia="仿宋_GB2312" w:cs="Times New Roman"/>
                <w:szCs w:val="24"/>
              </w:rPr>
              <w:t>翠亨新区海上绿岛建设</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观景平台及木栈道建设项目。</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5000</w:t>
            </w:r>
          </w:p>
        </w:tc>
        <w:tc>
          <w:tcPr>
            <w:tcW w:w="126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1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13935" w:type="dxa"/>
            <w:gridSpan w:val="10"/>
            <w:vAlign w:val="top"/>
          </w:tcPr>
          <w:p>
            <w:pPr>
              <w:pStyle w:val="95"/>
              <w:spacing w:before="0" w:after="0" w:line="360" w:lineRule="exact"/>
              <w:jc w:val="left"/>
              <w:rPr>
                <w:rFonts w:eastAsia="仿宋_GB2312" w:cs="Times New Roman"/>
                <w:b/>
                <w:szCs w:val="24"/>
              </w:rPr>
            </w:pPr>
            <w:r>
              <w:rPr>
                <w:rFonts w:eastAsia="仿宋_GB2312" w:cs="Times New Roman"/>
                <w:b/>
                <w:szCs w:val="24"/>
              </w:rPr>
              <w:t>三、海岛资源保护建设项目4项，总投资额3亿元以上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restart"/>
            <w:shd w:val="clear" w:color="auto" w:fill="auto"/>
            <w:vAlign w:val="center"/>
          </w:tcPr>
          <w:p>
            <w:pPr>
              <w:pStyle w:val="95"/>
              <w:spacing w:before="0" w:after="0" w:line="240" w:lineRule="auto"/>
              <w:rPr>
                <w:rFonts w:eastAsia="仿宋_GB2312" w:cs="Times New Roman"/>
                <w:szCs w:val="24"/>
              </w:rPr>
            </w:pPr>
            <w:r>
              <w:rPr>
                <w:rFonts w:eastAsia="仿宋_GB2312" w:cs="Times New Roman"/>
                <w:szCs w:val="24"/>
              </w:rPr>
              <w:t>生态岛礁建设工程</w:t>
            </w:r>
          </w:p>
        </w:tc>
        <w:tc>
          <w:tcPr>
            <w:tcW w:w="655" w:type="dxa"/>
            <w:vMerge w:val="restart"/>
            <w:shd w:val="clear" w:color="auto" w:fill="auto"/>
            <w:vAlign w:val="center"/>
          </w:tcPr>
          <w:p>
            <w:pPr>
              <w:pStyle w:val="95"/>
              <w:spacing w:before="0" w:after="0" w:line="240" w:lineRule="auto"/>
              <w:jc w:val="center"/>
              <w:rPr>
                <w:rFonts w:eastAsia="仿宋_GB2312" w:cs="Times New Roman"/>
                <w:szCs w:val="24"/>
              </w:rPr>
            </w:pPr>
            <w:r>
              <w:rPr>
                <w:rFonts w:eastAsia="仿宋_GB2312" w:cs="Times New Roman"/>
                <w:szCs w:val="24"/>
              </w:rPr>
              <w:t>权益维护类</w:t>
            </w: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江门</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围夹岛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揭阳</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石碑山角</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restart"/>
            <w:shd w:val="clear" w:color="auto" w:fill="auto"/>
            <w:vAlign w:val="center"/>
          </w:tcPr>
          <w:p>
            <w:pPr>
              <w:pStyle w:val="95"/>
              <w:spacing w:before="0" w:after="0" w:line="240" w:lineRule="auto"/>
              <w:jc w:val="center"/>
              <w:rPr>
                <w:rFonts w:eastAsia="仿宋_GB2312" w:cs="Times New Roman"/>
                <w:szCs w:val="24"/>
              </w:rPr>
            </w:pPr>
            <w:r>
              <w:rPr>
                <w:rFonts w:eastAsia="仿宋_GB2312" w:cs="Times New Roman"/>
                <w:szCs w:val="24"/>
              </w:rPr>
              <w:t>生态景观类</w:t>
            </w: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东莞</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威远岛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阳江</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南鹏岛、北莉岛、六极岛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restart"/>
            <w:shd w:val="clear" w:color="auto" w:fill="auto"/>
            <w:vAlign w:val="center"/>
          </w:tcPr>
          <w:p>
            <w:pPr>
              <w:pStyle w:val="95"/>
              <w:spacing w:before="0" w:after="0" w:line="240" w:lineRule="auto"/>
              <w:jc w:val="center"/>
              <w:rPr>
                <w:rFonts w:eastAsia="仿宋_GB2312" w:cs="Times New Roman"/>
                <w:szCs w:val="24"/>
              </w:rPr>
            </w:pPr>
            <w:r>
              <w:rPr>
                <w:rFonts w:eastAsia="仿宋_GB2312" w:cs="Times New Roman"/>
                <w:szCs w:val="24"/>
              </w:rPr>
              <w:t>宜居宜游类</w:t>
            </w: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汕头</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南澳岛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湛江</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硇州岛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茂名</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放鸡岛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潮州</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西澳岛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restart"/>
            <w:shd w:val="clear" w:color="auto" w:fill="auto"/>
            <w:vAlign w:val="center"/>
          </w:tcPr>
          <w:p>
            <w:pPr>
              <w:pStyle w:val="95"/>
              <w:spacing w:before="0" w:after="0" w:line="240" w:lineRule="auto"/>
              <w:jc w:val="center"/>
              <w:rPr>
                <w:rFonts w:eastAsia="仿宋_GB2312" w:cs="Times New Roman"/>
                <w:szCs w:val="24"/>
              </w:rPr>
            </w:pPr>
            <w:r>
              <w:rPr>
                <w:rFonts w:eastAsia="仿宋_GB2312" w:cs="Times New Roman"/>
                <w:szCs w:val="24"/>
              </w:rPr>
              <w:t>科技支撑类</w:t>
            </w: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珠海</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三角岛、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240" w:lineRule="auto"/>
              <w:rPr>
                <w:rFonts w:eastAsia="仿宋_GB2312" w:cs="Times New Roman"/>
                <w:szCs w:val="24"/>
              </w:rPr>
            </w:pPr>
          </w:p>
        </w:tc>
        <w:tc>
          <w:tcPr>
            <w:tcW w:w="655" w:type="dxa"/>
            <w:vMerge w:val="continue"/>
            <w:shd w:val="clear" w:color="auto" w:fill="auto"/>
            <w:vAlign w:val="center"/>
          </w:tcPr>
          <w:p>
            <w:pPr>
              <w:pStyle w:val="95"/>
              <w:spacing w:before="0" w:after="0" w:line="240" w:lineRule="auto"/>
              <w:jc w:val="center"/>
              <w:rPr>
                <w:rFonts w:eastAsia="仿宋_GB2312" w:cs="Times New Roman"/>
                <w:szCs w:val="24"/>
              </w:rPr>
            </w:pPr>
          </w:p>
        </w:tc>
        <w:tc>
          <w:tcPr>
            <w:tcW w:w="54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汕尾</w:t>
            </w:r>
          </w:p>
        </w:tc>
        <w:tc>
          <w:tcPr>
            <w:tcW w:w="1703"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龟龄岛</w:t>
            </w:r>
          </w:p>
        </w:tc>
        <w:tc>
          <w:tcPr>
            <w:tcW w:w="569"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240" w:lineRule="auto"/>
              <w:rPr>
                <w:rFonts w:eastAsia="仿宋_GB2312" w:cs="Times New Roman"/>
                <w:szCs w:val="24"/>
              </w:rPr>
            </w:pPr>
            <w:r>
              <w:rPr>
                <w:rFonts w:eastAsia="仿宋_GB2312" w:cs="Times New Roman"/>
                <w:szCs w:val="24"/>
              </w:rPr>
              <w:t>生态岛礁建设。</w:t>
            </w:r>
          </w:p>
        </w:tc>
        <w:tc>
          <w:tcPr>
            <w:tcW w:w="992"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待定</w:t>
            </w:r>
          </w:p>
        </w:tc>
        <w:tc>
          <w:tcPr>
            <w:tcW w:w="1279" w:type="dxa"/>
            <w:gridSpan w:val="2"/>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240" w:lineRule="auto"/>
              <w:jc w:val="center"/>
              <w:rPr>
                <w:rFonts w:eastAsia="仿宋_GB2312" w:cs="Times New Roman"/>
                <w:szCs w:val="24"/>
              </w:rPr>
            </w:pPr>
            <w:r>
              <w:rPr>
                <w:rFonts w:eastAsia="仿宋_GB2312" w:cs="Times New Roman"/>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restart"/>
            <w:shd w:val="clear" w:color="auto" w:fill="auto"/>
            <w:vAlign w:val="center"/>
          </w:tcPr>
          <w:p>
            <w:pPr>
              <w:pStyle w:val="95"/>
              <w:spacing w:before="0" w:after="0" w:line="360" w:lineRule="exact"/>
              <w:rPr>
                <w:rFonts w:eastAsia="仿宋_GB2312" w:cs="Times New Roman"/>
                <w:szCs w:val="24"/>
              </w:rPr>
            </w:pPr>
            <w:r>
              <w:rPr>
                <w:rFonts w:eastAsia="仿宋_GB2312" w:cs="Times New Roman"/>
                <w:szCs w:val="24"/>
              </w:rPr>
              <w:t>自然资源保护</w:t>
            </w:r>
          </w:p>
        </w:tc>
        <w:tc>
          <w:tcPr>
            <w:tcW w:w="655" w:type="dxa"/>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地质资源</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潮州</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海山岛海滩岩田地质遗迹保护</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新建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岩田保护管理站、岩田地质遗迹研究所。</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2017-2020</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rPr>
        <w:tc>
          <w:tcPr>
            <w:tcW w:w="666" w:type="dxa"/>
            <w:vMerge w:val="continue"/>
            <w:shd w:val="clear" w:color="auto" w:fill="auto"/>
            <w:vAlign w:val="center"/>
          </w:tcPr>
          <w:p>
            <w:pPr>
              <w:pStyle w:val="95"/>
              <w:spacing w:before="0" w:after="0" w:line="360" w:lineRule="exact"/>
              <w:rPr>
                <w:rFonts w:eastAsia="仿宋_GB2312" w:cs="Times New Roman"/>
                <w:szCs w:val="24"/>
              </w:rPr>
            </w:pPr>
          </w:p>
        </w:tc>
        <w:tc>
          <w:tcPr>
            <w:tcW w:w="655" w:type="dxa"/>
            <w:shd w:val="clear" w:color="auto" w:fill="auto"/>
            <w:vAlign w:val="center"/>
          </w:tcPr>
          <w:p>
            <w:pPr>
              <w:pStyle w:val="95"/>
              <w:spacing w:before="0" w:after="0" w:line="360" w:lineRule="exact"/>
              <w:jc w:val="center"/>
              <w:rPr>
                <w:rFonts w:eastAsia="仿宋_GB2312" w:cs="Times New Roman"/>
                <w:szCs w:val="24"/>
              </w:rPr>
            </w:pPr>
            <w:r>
              <w:rPr>
                <w:rFonts w:eastAsia="仿宋_GB2312" w:cs="Times New Roman"/>
                <w:szCs w:val="24"/>
              </w:rPr>
              <w:t>生物资源</w:t>
            </w:r>
          </w:p>
        </w:tc>
        <w:tc>
          <w:tcPr>
            <w:tcW w:w="54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汕尾</w:t>
            </w:r>
          </w:p>
        </w:tc>
        <w:tc>
          <w:tcPr>
            <w:tcW w:w="1703"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红海湾区礁盘生态保护</w:t>
            </w:r>
          </w:p>
        </w:tc>
        <w:tc>
          <w:tcPr>
            <w:tcW w:w="569"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续建</w:t>
            </w:r>
          </w:p>
        </w:tc>
        <w:tc>
          <w:tcPr>
            <w:tcW w:w="6814" w:type="dxa"/>
            <w:shd w:val="clear" w:color="000000" w:fill="FFFFFF"/>
            <w:vAlign w:val="center"/>
          </w:tcPr>
          <w:p>
            <w:pPr>
              <w:pStyle w:val="95"/>
              <w:spacing w:before="0" w:after="0" w:line="360" w:lineRule="exact"/>
              <w:rPr>
                <w:rFonts w:eastAsia="仿宋_GB2312" w:cs="Times New Roman"/>
                <w:szCs w:val="24"/>
              </w:rPr>
            </w:pPr>
            <w:r>
              <w:rPr>
                <w:rFonts w:eastAsia="仿宋_GB2312" w:cs="Times New Roman"/>
                <w:szCs w:val="24"/>
              </w:rPr>
              <w:t>礁盘水产资源养护增殖，建设人工鱼礁，红海滩水产资源保护研究所。</w:t>
            </w:r>
          </w:p>
        </w:tc>
        <w:tc>
          <w:tcPr>
            <w:tcW w:w="992"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10000</w:t>
            </w:r>
          </w:p>
        </w:tc>
        <w:tc>
          <w:tcPr>
            <w:tcW w:w="1279" w:type="dxa"/>
            <w:gridSpan w:val="2"/>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2017-2019</w:t>
            </w:r>
          </w:p>
        </w:tc>
        <w:tc>
          <w:tcPr>
            <w:tcW w:w="708" w:type="dxa"/>
            <w:shd w:val="clear" w:color="000000" w:fill="FFFFFF"/>
            <w:vAlign w:val="center"/>
          </w:tcPr>
          <w:p>
            <w:pPr>
              <w:pStyle w:val="95"/>
              <w:spacing w:before="0" w:after="0" w:line="360" w:lineRule="exact"/>
              <w:jc w:val="center"/>
              <w:rPr>
                <w:rFonts w:eastAsia="仿宋_GB2312" w:cs="Times New Roman"/>
                <w:szCs w:val="24"/>
              </w:rPr>
            </w:pPr>
            <w:r>
              <w:rPr>
                <w:rFonts w:eastAsia="仿宋_GB2312" w:cs="Times New Roman"/>
                <w:szCs w:val="24"/>
              </w:rPr>
              <w:t>62</w:t>
            </w:r>
          </w:p>
        </w:tc>
      </w:tr>
    </w:tbl>
    <w:p>
      <w:pPr>
        <w:ind w:firstLine="0" w:firstLineChars="0"/>
      </w:pPr>
    </w:p>
    <w:sectPr>
      <w:pgSz w:w="16838" w:h="11906" w:orient="landscape"/>
      <w:pgMar w:top="1797" w:right="1531" w:bottom="1797" w:left="1531" w:header="851" w:footer="992" w:gutter="0"/>
      <w:cols w:space="720" w:num="1"/>
      <w:docGrid w:type="lines" w:linePitch="583" w:charSpace="8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Cambria">
    <w:panose1 w:val="02040503050406030204"/>
    <w:charset w:val="00"/>
    <w:family w:val="auto"/>
    <w:pitch w:val="default"/>
    <w:sig w:usb0="E00002FF" w:usb1="400004FF" w:usb2="00000000" w:usb3="00000000" w:csb0="2000019F" w:csb1="00000000"/>
  </w:font>
  <w:font w:name="华文中宋">
    <w:altName w:val="宋体"/>
    <w:panose1 w:val="02010600040101010101"/>
    <w:charset w:val="86"/>
    <w:family w:val="auto"/>
    <w:pitch w:val="default"/>
    <w:sig w:usb0="00000287" w:usb1="080F0000" w:usb2="00000000" w:usb3="00000000" w:csb0="0004009F" w:csb1="DFD70000"/>
  </w:font>
  <w:font w:name="方正楷体简体">
    <w:altName w:val="微软雅黑"/>
    <w:panose1 w:val="03000509000000000000"/>
    <w:charset w:val="86"/>
    <w:family w:val="auto"/>
    <w:pitch w:val="default"/>
    <w:sig w:usb0="00000000" w:usb1="00000000" w:usb2="00000010" w:usb3="00000000" w:csb0="00040000" w:csb1="00000000"/>
  </w:font>
  <w:font w:name="Franklin Gothic Book">
    <w:altName w:val="Malgun Gothic"/>
    <w:panose1 w:val="020B0503020102020204"/>
    <w:charset w:val="00"/>
    <w:family w:val="auto"/>
    <w:pitch w:val="default"/>
    <w:sig w:usb0="00000000" w:usb1="00000000" w:usb2="00000000" w:usb3="00000000" w:csb0="0000009F" w:csb1="00000000"/>
  </w:font>
  <w:font w:name="仿宋_GB2312">
    <w:panose1 w:val="02010609030101010101"/>
    <w:charset w:val="86"/>
    <w:family w:val="auto"/>
    <w:pitch w:val="default"/>
    <w:sig w:usb0="00000001" w:usb1="080E0000" w:usb2="00000000" w:usb3="00000000" w:csb0="00040000" w:csb1="00000000"/>
  </w:font>
  <w:font w:name="DengXian">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56</w:t>
    </w:r>
    <w:r>
      <w:rPr>
        <w:sz w:val="24"/>
        <w:szCs w:val="24"/>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8"/>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142189854">
    <w:nsid w:val="44146F1E"/>
    <w:multiLevelType w:val="multilevel"/>
    <w:tmpl w:val="44146F1E"/>
    <w:lvl w:ilvl="0" w:tentative="1">
      <w:start w:val="1"/>
      <w:numFmt w:val="chineseCountingThousand"/>
      <w:pStyle w:val="88"/>
      <w:lvlText w:val="%1、"/>
      <w:lvlJc w:val="left"/>
      <w:pPr>
        <w:ind w:left="1214" w:hanging="420"/>
      </w:pPr>
      <w:rPr>
        <w:rFonts w:hint="eastAsia"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871331224">
    <w:nsid w:val="6F8A3F98"/>
    <w:multiLevelType w:val="multilevel"/>
    <w:tmpl w:val="6F8A3F98"/>
    <w:lvl w:ilvl="0" w:tentative="1">
      <w:start w:val="1"/>
      <w:numFmt w:val="decimal"/>
      <w:lvlText w:val="%1."/>
      <w:lvlJc w:val="left"/>
      <w:pPr>
        <w:ind w:left="709" w:hanging="709"/>
      </w:pPr>
      <w:rPr>
        <w:rFonts w:hint="eastAsia"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033606308">
    <w:nsid w:val="79365EA4"/>
    <w:multiLevelType w:val="multilevel"/>
    <w:tmpl w:val="79365EA4"/>
    <w:lvl w:ilvl="0" w:tentative="1">
      <w:start w:val="1"/>
      <w:numFmt w:val="bullet"/>
      <w:pStyle w:val="59"/>
      <w:lvlText w:val=""/>
      <w:lvlJc w:val="left"/>
      <w:pPr>
        <w:ind w:left="900" w:hanging="420"/>
      </w:pPr>
      <w:rPr>
        <w:rFonts w:hint="default" w:ascii="Wingdings" w:hAnsi="Wingdings"/>
      </w:rPr>
    </w:lvl>
    <w:lvl w:ilvl="1" w:tentative="1">
      <w:start w:val="1"/>
      <w:numFmt w:val="bullet"/>
      <w:lvlText w:val=""/>
      <w:lvlJc w:val="left"/>
      <w:pPr>
        <w:ind w:left="1320" w:hanging="420"/>
      </w:pPr>
      <w:rPr>
        <w:rFonts w:hint="default" w:ascii="Wingdings" w:hAnsi="Wingdings"/>
      </w:rPr>
    </w:lvl>
    <w:lvl w:ilvl="2" w:tentative="1">
      <w:start w:val="1"/>
      <w:numFmt w:val="bullet"/>
      <w:lvlText w:val=""/>
      <w:lvlJc w:val="left"/>
      <w:pPr>
        <w:ind w:left="1740" w:hanging="420"/>
      </w:pPr>
      <w:rPr>
        <w:rFonts w:hint="default" w:ascii="Wingdings" w:hAnsi="Wingdings"/>
      </w:rPr>
    </w:lvl>
    <w:lvl w:ilvl="3" w:tentative="1">
      <w:start w:val="1"/>
      <w:numFmt w:val="bullet"/>
      <w:lvlText w:val=""/>
      <w:lvlJc w:val="left"/>
      <w:pPr>
        <w:ind w:left="2160" w:hanging="420"/>
      </w:pPr>
      <w:rPr>
        <w:rFonts w:hint="default" w:ascii="Wingdings" w:hAnsi="Wingdings"/>
      </w:rPr>
    </w:lvl>
    <w:lvl w:ilvl="4" w:tentative="1">
      <w:start w:val="1"/>
      <w:numFmt w:val="bullet"/>
      <w:lvlText w:val=""/>
      <w:lvlJc w:val="left"/>
      <w:pPr>
        <w:ind w:left="2580" w:hanging="420"/>
      </w:pPr>
      <w:rPr>
        <w:rFonts w:hint="default" w:ascii="Wingdings" w:hAnsi="Wingdings"/>
      </w:rPr>
    </w:lvl>
    <w:lvl w:ilvl="5" w:tentative="1">
      <w:start w:val="1"/>
      <w:numFmt w:val="bullet"/>
      <w:lvlText w:val=""/>
      <w:lvlJc w:val="left"/>
      <w:pPr>
        <w:ind w:left="3000" w:hanging="420"/>
      </w:pPr>
      <w:rPr>
        <w:rFonts w:hint="default" w:ascii="Wingdings" w:hAnsi="Wingdings"/>
      </w:rPr>
    </w:lvl>
    <w:lvl w:ilvl="6" w:tentative="1">
      <w:start w:val="1"/>
      <w:numFmt w:val="bullet"/>
      <w:lvlText w:val=""/>
      <w:lvlJc w:val="left"/>
      <w:pPr>
        <w:ind w:left="3420" w:hanging="420"/>
      </w:pPr>
      <w:rPr>
        <w:rFonts w:hint="default" w:ascii="Wingdings" w:hAnsi="Wingdings"/>
      </w:rPr>
    </w:lvl>
    <w:lvl w:ilvl="7" w:tentative="1">
      <w:start w:val="1"/>
      <w:numFmt w:val="bullet"/>
      <w:lvlText w:val=""/>
      <w:lvlJc w:val="left"/>
      <w:pPr>
        <w:ind w:left="3840" w:hanging="420"/>
      </w:pPr>
      <w:rPr>
        <w:rFonts w:hint="default" w:ascii="Wingdings" w:hAnsi="Wingdings"/>
      </w:rPr>
    </w:lvl>
    <w:lvl w:ilvl="8" w:tentative="1">
      <w:start w:val="1"/>
      <w:numFmt w:val="bullet"/>
      <w:lvlText w:val=""/>
      <w:lvlJc w:val="left"/>
      <w:pPr>
        <w:ind w:left="4260" w:hanging="420"/>
      </w:pPr>
      <w:rPr>
        <w:rFonts w:hint="default" w:ascii="Wingdings" w:hAnsi="Wingdings"/>
      </w:rPr>
    </w:lvl>
  </w:abstractNum>
  <w:abstractNum w:abstractNumId="582227086">
    <w:nsid w:val="22B4148E"/>
    <w:multiLevelType w:val="multilevel"/>
    <w:tmpl w:val="22B4148E"/>
    <w:lvl w:ilvl="0" w:tentative="1">
      <w:start w:val="1"/>
      <w:numFmt w:val="decimal"/>
      <w:pStyle w:val="89"/>
      <w:lvlText w:val="%1"/>
      <w:lvlJc w:val="left"/>
      <w:pPr>
        <w:ind w:left="420" w:hanging="420"/>
      </w:pPr>
      <w:rPr>
        <w:rFonts w:hint="eastAsia" w:cs="Times New Roman"/>
        <w:b w:val="0"/>
        <w:bCs w:val="0"/>
        <w:i w:val="0"/>
        <w:iCs w:val="0"/>
        <w:caps w:val="0"/>
        <w:smallCaps w:val="0"/>
        <w:strike w:val="0"/>
        <w:dstrike w:val="0"/>
        <w:snapToGrid w:val="0"/>
        <w:color w:val="000000"/>
        <w:spacing w:val="0"/>
        <w:w w:val="0"/>
        <w:kern w:val="0"/>
        <w:position w:val="0"/>
        <w:sz w:val="24"/>
        <w:szCs w:val="24"/>
        <w:u w:val="none" w:color="000000"/>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575094919">
    <w:nsid w:val="22474087"/>
    <w:multiLevelType w:val="multilevel"/>
    <w:tmpl w:val="22474087"/>
    <w:lvl w:ilvl="0" w:tentative="1">
      <w:start w:val="1"/>
      <w:numFmt w:val="chineseCountingThousand"/>
      <w:pStyle w:val="58"/>
      <w:lvlText w:val="(%1)"/>
      <w:lvlJc w:val="left"/>
      <w:pPr>
        <w:ind w:left="574" w:hanging="420"/>
      </w:pPr>
      <w:rPr>
        <w:rFonts w:cs="Times New Roman"/>
      </w:rPr>
    </w:lvl>
    <w:lvl w:ilvl="1" w:tentative="1">
      <w:start w:val="1"/>
      <w:numFmt w:val="lowerLetter"/>
      <w:lvlText w:val="%2)"/>
      <w:lvlJc w:val="left"/>
      <w:pPr>
        <w:ind w:left="994" w:hanging="420"/>
      </w:pPr>
      <w:rPr>
        <w:rFonts w:cs="Times New Roman"/>
      </w:rPr>
    </w:lvl>
    <w:lvl w:ilvl="2" w:tentative="1">
      <w:start w:val="1"/>
      <w:numFmt w:val="lowerRoman"/>
      <w:lvlText w:val="%3."/>
      <w:lvlJc w:val="right"/>
      <w:pPr>
        <w:ind w:left="1414" w:hanging="420"/>
      </w:pPr>
      <w:rPr>
        <w:rFonts w:cs="Times New Roman"/>
      </w:rPr>
    </w:lvl>
    <w:lvl w:ilvl="3" w:tentative="1">
      <w:start w:val="1"/>
      <w:numFmt w:val="decimal"/>
      <w:lvlText w:val="%4."/>
      <w:lvlJc w:val="left"/>
      <w:pPr>
        <w:ind w:left="1834" w:hanging="420"/>
      </w:pPr>
      <w:rPr>
        <w:rFonts w:cs="Times New Roman"/>
      </w:rPr>
    </w:lvl>
    <w:lvl w:ilvl="4" w:tentative="1">
      <w:start w:val="1"/>
      <w:numFmt w:val="lowerLetter"/>
      <w:lvlText w:val="%5)"/>
      <w:lvlJc w:val="left"/>
      <w:pPr>
        <w:ind w:left="2254" w:hanging="420"/>
      </w:pPr>
      <w:rPr>
        <w:rFonts w:cs="Times New Roman"/>
      </w:rPr>
    </w:lvl>
    <w:lvl w:ilvl="5" w:tentative="1">
      <w:start w:val="1"/>
      <w:numFmt w:val="lowerRoman"/>
      <w:lvlText w:val="%6."/>
      <w:lvlJc w:val="right"/>
      <w:pPr>
        <w:ind w:left="2674" w:hanging="420"/>
      </w:pPr>
      <w:rPr>
        <w:rFonts w:cs="Times New Roman"/>
      </w:rPr>
    </w:lvl>
    <w:lvl w:ilvl="6" w:tentative="1">
      <w:start w:val="1"/>
      <w:numFmt w:val="decimal"/>
      <w:lvlText w:val="%7."/>
      <w:lvlJc w:val="left"/>
      <w:pPr>
        <w:ind w:left="3094" w:hanging="420"/>
      </w:pPr>
      <w:rPr>
        <w:rFonts w:cs="Times New Roman"/>
      </w:rPr>
    </w:lvl>
    <w:lvl w:ilvl="7" w:tentative="1">
      <w:start w:val="1"/>
      <w:numFmt w:val="lowerLetter"/>
      <w:lvlText w:val="%8)"/>
      <w:lvlJc w:val="left"/>
      <w:pPr>
        <w:ind w:left="3514" w:hanging="420"/>
      </w:pPr>
      <w:rPr>
        <w:rFonts w:cs="Times New Roman"/>
      </w:rPr>
    </w:lvl>
    <w:lvl w:ilvl="8" w:tentative="1">
      <w:start w:val="1"/>
      <w:numFmt w:val="lowerRoman"/>
      <w:lvlText w:val="%9."/>
      <w:lvlJc w:val="right"/>
      <w:pPr>
        <w:ind w:left="3934" w:hanging="420"/>
      </w:pPr>
      <w:rPr>
        <w:rFonts w:cs="Times New Roman"/>
      </w:rPr>
    </w:lvl>
  </w:abstractNum>
  <w:abstractNum w:abstractNumId="202639721">
    <w:nsid w:val="0C140969"/>
    <w:multiLevelType w:val="multilevel"/>
    <w:tmpl w:val="0C140969"/>
    <w:lvl w:ilvl="0" w:tentative="1">
      <w:start w:val="1"/>
      <w:numFmt w:val="chineseCountingThousand"/>
      <w:pStyle w:val="2"/>
      <w:suff w:val="nothing"/>
      <w:lvlText w:val="第%1篇 "/>
      <w:lvlJc w:val="left"/>
      <w:rPr>
        <w:rFonts w:hint="eastAsia" w:ascii="Times New Roman" w:hAnsi="Times New Roman" w:cs="Times New Roman"/>
        <w:i w:val="0"/>
        <w:iCs w:val="0"/>
        <w:caps w:val="0"/>
        <w:smallCaps w:val="0"/>
        <w:strike w:val="0"/>
        <w:dstrike w:val="0"/>
        <w:color w:val="000000"/>
        <w:spacing w:val="0"/>
        <w:position w:val="0"/>
        <w:u w:val="none"/>
      </w:rPr>
    </w:lvl>
    <w:lvl w:ilvl="1" w:tentative="1">
      <w:start w:val="3"/>
      <w:numFmt w:val="chineseCountingThousand"/>
      <w:lvlRestart w:val="0"/>
      <w:pStyle w:val="3"/>
      <w:suff w:val="nothing"/>
      <w:lvlText w:val="第%2章 "/>
      <w:lvlJc w:val="left"/>
      <w:rPr>
        <w:rFonts w:hint="eastAsia" w:ascii="黑体" w:hAnsi="Arial" w:eastAsia="黑体" w:cs="Times New Roman"/>
        <w:b/>
        <w:bCs/>
        <w:i w:val="0"/>
        <w:iCs w:val="0"/>
      </w:rPr>
    </w:lvl>
    <w:lvl w:ilvl="2" w:tentative="1">
      <w:start w:val="1"/>
      <w:numFmt w:val="chineseCountingThousand"/>
      <w:suff w:val="nothing"/>
      <w:lvlText w:val="第%3节 "/>
      <w:lvlJc w:val="left"/>
      <w:rPr>
        <w:rFonts w:hint="eastAsia" w:ascii="Times New Roman" w:hAnsi="Times New Roman" w:cs="Times New Roman"/>
        <w:i w:val="0"/>
        <w:iCs w:val="0"/>
        <w:caps w:val="0"/>
        <w:smallCaps w:val="0"/>
        <w:strike w:val="0"/>
        <w:dstrike w:val="0"/>
        <w:color w:val="000000"/>
        <w:spacing w:val="0"/>
        <w:position w:val="0"/>
        <w:u w:val="none"/>
      </w:rPr>
    </w:lvl>
    <w:lvl w:ilvl="3" w:tentative="1">
      <w:start w:val="1"/>
      <w:numFmt w:val="chineseCountingThousand"/>
      <w:lvlRestart w:val="0"/>
      <w:suff w:val="nothing"/>
      <w:lvlText w:val="（%4）"/>
      <w:lvlJc w:val="left"/>
      <w:rPr>
        <w:rFonts w:hint="default" w:ascii="Times New Roman" w:hAnsi="Times New Roman" w:cs="Times New Roman"/>
        <w:b/>
        <w:bCs w:val="0"/>
        <w:i w:val="0"/>
        <w:iCs w:val="0"/>
        <w:caps w:val="0"/>
        <w:smallCaps w:val="0"/>
        <w:strike w:val="0"/>
        <w:dstrike w:val="0"/>
        <w:color w:val="000000"/>
        <w:spacing w:val="0"/>
        <w:position w:val="0"/>
        <w:u w:val="none"/>
      </w:rPr>
    </w:lvl>
    <w:lvl w:ilvl="4" w:tentative="1">
      <w:start w:val="1"/>
      <w:numFmt w:val="decimal"/>
      <w:pStyle w:val="6"/>
      <w:suff w:val="nothing"/>
      <w:lvlText w:val="%5."/>
      <w:lvlJc w:val="left"/>
      <w:pPr>
        <w:ind w:left="992"/>
      </w:pPr>
      <w:rPr>
        <w:rFonts w:hint="default" w:ascii="Times New Roman" w:hAnsi="Times New Roman" w:eastAsia="黑体" w:cs="Times New Roman"/>
        <w:b w:val="0"/>
        <w:bCs/>
        <w:i w:val="0"/>
        <w:iCs w:val="0"/>
        <w:sz w:val="32"/>
      </w:rPr>
    </w:lvl>
    <w:lvl w:ilvl="5" w:tentative="1">
      <w:start w:val="1"/>
      <w:numFmt w:val="decimal"/>
      <w:pStyle w:val="7"/>
      <w:suff w:val="nothing"/>
      <w:lvlText w:val="（%6）"/>
      <w:lvlJc w:val="left"/>
      <w:rPr>
        <w:rFonts w:hint="default" w:ascii="Times New Roman" w:hAnsi="Times New Roman" w:cs="Times New Roman"/>
        <w:b/>
        <w:bCs w:val="0"/>
        <w:i w:val="0"/>
        <w:iCs w:val="0"/>
        <w:caps w:val="0"/>
        <w:smallCaps w:val="0"/>
        <w:strike w:val="0"/>
        <w:dstrike w:val="0"/>
        <w:color w:val="000000"/>
        <w:spacing w:val="0"/>
        <w:position w:val="0"/>
        <w:u w:val="none"/>
      </w:rPr>
    </w:lvl>
    <w:lvl w:ilvl="6" w:tentative="1">
      <w:start w:val="1"/>
      <w:numFmt w:val="decimal"/>
      <w:lvlRestart w:val="0"/>
      <w:lvlText w:val="%1.%2.%3.%4.%5.%6.%7"/>
      <w:lvlJc w:val="left"/>
      <w:pPr>
        <w:tabs>
          <w:tab w:val="left" w:pos="-295"/>
        </w:tabs>
      </w:pPr>
      <w:rPr>
        <w:rFonts w:hint="eastAsia" w:cs="Times New Roman"/>
      </w:rPr>
    </w:lvl>
    <w:lvl w:ilvl="7" w:tentative="1">
      <w:start w:val="1"/>
      <w:numFmt w:val="decimal"/>
      <w:lvlRestart w:val="0"/>
      <w:lvlText w:val="%1.%2.%3.%4.%5.%6.%7.%8"/>
      <w:lvlJc w:val="left"/>
      <w:pPr>
        <w:tabs>
          <w:tab w:val="left" w:pos="490"/>
        </w:tabs>
      </w:pPr>
      <w:rPr>
        <w:rFonts w:hint="eastAsia" w:cs="Times New Roman"/>
      </w:rPr>
    </w:lvl>
    <w:lvl w:ilvl="8" w:tentative="1">
      <w:start w:val="1"/>
      <w:numFmt w:val="decimal"/>
      <w:lvlRestart w:val="0"/>
      <w:lvlText w:val="%1.%2.%3.%4.%5.%6.%7.%8.%9"/>
      <w:lvlJc w:val="left"/>
      <w:pPr>
        <w:tabs>
          <w:tab w:val="left" w:pos="916"/>
        </w:tabs>
      </w:pPr>
      <w:rPr>
        <w:rFonts w:hint="eastAsia" w:cs="Times New Roman"/>
      </w:rPr>
    </w:lvl>
  </w:abstractNum>
  <w:abstractNum w:abstractNumId="1042559555">
    <w:nsid w:val="3E243243"/>
    <w:multiLevelType w:val="multilevel"/>
    <w:tmpl w:val="3E243243"/>
    <w:lvl w:ilvl="0" w:tentative="1">
      <w:start w:val="1"/>
      <w:numFmt w:val="chineseCountingThousand"/>
      <w:pStyle w:val="4"/>
      <w:lvlText w:val="(%1)"/>
      <w:lvlJc w:val="left"/>
      <w:pPr>
        <w:ind w:left="1129" w:hanging="420"/>
      </w:pPr>
      <w:rPr>
        <w:rFonts w:hint="default" w:ascii="Times New Roman" w:hAnsi="Times New Roman" w:cs="Times New Roman"/>
        <w:b/>
        <w:bCs w:val="0"/>
        <w:i w:val="0"/>
        <w:iCs w:val="0"/>
        <w:caps w:val="0"/>
        <w:smallCaps w:val="0"/>
        <w:strike w:val="0"/>
        <w:dstrike w:val="0"/>
        <w:color w:val="000000"/>
        <w:spacing w:val="0"/>
        <w:position w:val="0"/>
        <w:u w:val="none"/>
      </w:rPr>
    </w:lvl>
    <w:lvl w:ilvl="1" w:tentative="1">
      <w:start w:val="1"/>
      <w:numFmt w:val="lowerLetter"/>
      <w:lvlText w:val="%2)"/>
      <w:lvlJc w:val="left"/>
      <w:pPr>
        <w:ind w:left="1408" w:hanging="420"/>
      </w:pPr>
      <w:rPr>
        <w:rFonts w:hint="eastAsia" w:cs="Times New Roman"/>
      </w:rPr>
    </w:lvl>
    <w:lvl w:ilvl="2" w:tentative="1">
      <w:start w:val="1"/>
      <w:numFmt w:val="lowerRoman"/>
      <w:lvlText w:val="%3."/>
      <w:lvlJc w:val="right"/>
      <w:pPr>
        <w:ind w:left="1828" w:hanging="420"/>
      </w:pPr>
      <w:rPr>
        <w:rFonts w:hint="eastAsia" w:cs="Times New Roman"/>
      </w:rPr>
    </w:lvl>
    <w:lvl w:ilvl="3" w:tentative="1">
      <w:start w:val="1"/>
      <w:numFmt w:val="decimal"/>
      <w:lvlText w:val="%4."/>
      <w:lvlJc w:val="left"/>
      <w:pPr>
        <w:ind w:left="2248" w:hanging="420"/>
      </w:pPr>
      <w:rPr>
        <w:rFonts w:hint="eastAsia" w:cs="Times New Roman"/>
      </w:rPr>
    </w:lvl>
    <w:lvl w:ilvl="4" w:tentative="1">
      <w:start w:val="1"/>
      <w:numFmt w:val="lowerLetter"/>
      <w:lvlText w:val="%5)"/>
      <w:lvlJc w:val="left"/>
      <w:pPr>
        <w:ind w:left="2668" w:hanging="420"/>
      </w:pPr>
      <w:rPr>
        <w:rFonts w:hint="eastAsia" w:cs="Times New Roman"/>
      </w:rPr>
    </w:lvl>
    <w:lvl w:ilvl="5" w:tentative="1">
      <w:start w:val="1"/>
      <w:numFmt w:val="lowerRoman"/>
      <w:lvlText w:val="%6."/>
      <w:lvlJc w:val="right"/>
      <w:pPr>
        <w:ind w:left="3088" w:hanging="420"/>
      </w:pPr>
      <w:rPr>
        <w:rFonts w:hint="eastAsia" w:cs="Times New Roman"/>
      </w:rPr>
    </w:lvl>
    <w:lvl w:ilvl="6" w:tentative="1">
      <w:start w:val="1"/>
      <w:numFmt w:val="decimal"/>
      <w:lvlText w:val="%7."/>
      <w:lvlJc w:val="left"/>
      <w:pPr>
        <w:ind w:left="3508" w:hanging="420"/>
      </w:pPr>
      <w:rPr>
        <w:rFonts w:hint="eastAsia" w:cs="Times New Roman"/>
      </w:rPr>
    </w:lvl>
    <w:lvl w:ilvl="7" w:tentative="1">
      <w:start w:val="1"/>
      <w:numFmt w:val="lowerLetter"/>
      <w:lvlText w:val="%8)"/>
      <w:lvlJc w:val="left"/>
      <w:pPr>
        <w:ind w:left="3928" w:hanging="420"/>
      </w:pPr>
      <w:rPr>
        <w:rFonts w:hint="eastAsia" w:cs="Times New Roman"/>
      </w:rPr>
    </w:lvl>
    <w:lvl w:ilvl="8" w:tentative="1">
      <w:start w:val="1"/>
      <w:numFmt w:val="lowerRoman"/>
      <w:lvlText w:val="%9."/>
      <w:lvlJc w:val="right"/>
      <w:pPr>
        <w:ind w:left="4348" w:hanging="420"/>
      </w:pPr>
      <w:rPr>
        <w:rFonts w:hint="eastAsia" w:cs="Times New Roman"/>
      </w:rPr>
    </w:lvl>
  </w:abstractNum>
  <w:abstractNum w:abstractNumId="1014303638">
    <w:nsid w:val="3C750B96"/>
    <w:multiLevelType w:val="multilevel"/>
    <w:tmpl w:val="3C750B96"/>
    <w:lvl w:ilvl="0" w:tentative="1">
      <w:start w:val="1"/>
      <w:numFmt w:val="decimal"/>
      <w:pStyle w:val="5"/>
      <w:lvlText w:val="%1"/>
      <w:lvlJc w:val="left"/>
      <w:pPr>
        <w:ind w:left="987" w:hanging="420"/>
      </w:pPr>
      <w:rPr>
        <w:rFonts w:hint="eastAsia" w:cs="Times New Roman"/>
        <w:b w:val="0"/>
        <w:bCs w:val="0"/>
        <w:i w:val="0"/>
        <w:iCs w:val="0"/>
        <w:caps w:val="0"/>
        <w:smallCaps w:val="0"/>
        <w:strike w:val="0"/>
        <w:dstrike w:val="0"/>
        <w:snapToGrid w:val="0"/>
        <w:color w:val="000000"/>
        <w:spacing w:val="0"/>
        <w:w w:val="0"/>
        <w:kern w:val="0"/>
        <w:position w:val="0"/>
        <w:sz w:val="24"/>
        <w:szCs w:val="24"/>
        <w:u w:val="none" w:color="000000"/>
      </w:rPr>
    </w:lvl>
    <w:lvl w:ilvl="1" w:tentative="1">
      <w:start w:val="1"/>
      <w:numFmt w:val="lowerLetter"/>
      <w:lvlText w:val="%2)"/>
      <w:lvlJc w:val="left"/>
      <w:pPr>
        <w:ind w:left="2405" w:hanging="420"/>
      </w:pPr>
      <w:rPr>
        <w:rFonts w:cs="Times New Roman"/>
      </w:rPr>
    </w:lvl>
    <w:lvl w:ilvl="2" w:tentative="1">
      <w:start w:val="1"/>
      <w:numFmt w:val="lowerRoman"/>
      <w:lvlText w:val="%3."/>
      <w:lvlJc w:val="right"/>
      <w:pPr>
        <w:ind w:left="2825" w:hanging="420"/>
      </w:pPr>
      <w:rPr>
        <w:rFonts w:cs="Times New Roman"/>
      </w:rPr>
    </w:lvl>
    <w:lvl w:ilvl="3" w:tentative="1">
      <w:start w:val="1"/>
      <w:numFmt w:val="decimal"/>
      <w:lvlText w:val="%4."/>
      <w:lvlJc w:val="left"/>
      <w:pPr>
        <w:ind w:left="3245" w:hanging="420"/>
      </w:pPr>
      <w:rPr>
        <w:rFonts w:cs="Times New Roman"/>
      </w:rPr>
    </w:lvl>
    <w:lvl w:ilvl="4" w:tentative="1">
      <w:start w:val="1"/>
      <w:numFmt w:val="lowerLetter"/>
      <w:lvlText w:val="%5)"/>
      <w:lvlJc w:val="left"/>
      <w:pPr>
        <w:ind w:left="3665" w:hanging="420"/>
      </w:pPr>
      <w:rPr>
        <w:rFonts w:cs="Times New Roman"/>
      </w:rPr>
    </w:lvl>
    <w:lvl w:ilvl="5" w:tentative="1">
      <w:start w:val="1"/>
      <w:numFmt w:val="lowerRoman"/>
      <w:lvlText w:val="%6."/>
      <w:lvlJc w:val="right"/>
      <w:pPr>
        <w:ind w:left="4085" w:hanging="420"/>
      </w:pPr>
      <w:rPr>
        <w:rFonts w:cs="Times New Roman"/>
      </w:rPr>
    </w:lvl>
    <w:lvl w:ilvl="6" w:tentative="1">
      <w:start w:val="1"/>
      <w:numFmt w:val="decimal"/>
      <w:lvlText w:val="%7."/>
      <w:lvlJc w:val="left"/>
      <w:pPr>
        <w:ind w:left="4505" w:hanging="420"/>
      </w:pPr>
      <w:rPr>
        <w:rFonts w:cs="Times New Roman"/>
      </w:rPr>
    </w:lvl>
    <w:lvl w:ilvl="7" w:tentative="1">
      <w:start w:val="1"/>
      <w:numFmt w:val="lowerLetter"/>
      <w:lvlText w:val="%8)"/>
      <w:lvlJc w:val="left"/>
      <w:pPr>
        <w:ind w:left="4925" w:hanging="420"/>
      </w:pPr>
      <w:rPr>
        <w:rFonts w:cs="Times New Roman"/>
      </w:rPr>
    </w:lvl>
    <w:lvl w:ilvl="8" w:tentative="1">
      <w:start w:val="1"/>
      <w:numFmt w:val="lowerRoman"/>
      <w:lvlText w:val="%9."/>
      <w:lvlJc w:val="right"/>
      <w:pPr>
        <w:ind w:left="5345" w:hanging="420"/>
      </w:pPr>
      <w:rPr>
        <w:rFonts w:cs="Times New Roman"/>
      </w:rPr>
    </w:lvl>
  </w:abstractNum>
  <w:num w:numId="1">
    <w:abstractNumId w:val="202639721"/>
  </w:num>
  <w:num w:numId="2">
    <w:abstractNumId w:val="1042559555"/>
  </w:num>
  <w:num w:numId="3">
    <w:abstractNumId w:val="1014303638"/>
  </w:num>
  <w:num w:numId="4">
    <w:abstractNumId w:val="575094919"/>
  </w:num>
  <w:num w:numId="5">
    <w:abstractNumId w:val="2033606308"/>
  </w:num>
  <w:num w:numId="6">
    <w:abstractNumId w:val="1142189854"/>
  </w:num>
  <w:num w:numId="7">
    <w:abstractNumId w:val="582227086"/>
  </w:num>
  <w:num w:numId="8">
    <w:abstractNumId w:val="18713312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62"/>
  <w:drawingGridVerticalSpacing w:val="583"/>
  <w:displayHorizontalDrawingGridEvery w:val="0"/>
  <w:displayVerticalDrawingGridEvery w:val="1"/>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D25C1"/>
    <w:rsid w:val="000003CE"/>
    <w:rsid w:val="00000528"/>
    <w:rsid w:val="0000067B"/>
    <w:rsid w:val="00000A0A"/>
    <w:rsid w:val="00002451"/>
    <w:rsid w:val="00002483"/>
    <w:rsid w:val="000025EC"/>
    <w:rsid w:val="000028F1"/>
    <w:rsid w:val="00002C59"/>
    <w:rsid w:val="00002F1E"/>
    <w:rsid w:val="00003290"/>
    <w:rsid w:val="000035B9"/>
    <w:rsid w:val="00003A21"/>
    <w:rsid w:val="00003CDF"/>
    <w:rsid w:val="00003F28"/>
    <w:rsid w:val="00003FB1"/>
    <w:rsid w:val="00004236"/>
    <w:rsid w:val="00004285"/>
    <w:rsid w:val="00004448"/>
    <w:rsid w:val="000044C8"/>
    <w:rsid w:val="00004542"/>
    <w:rsid w:val="00004685"/>
    <w:rsid w:val="00004A8D"/>
    <w:rsid w:val="00004CDE"/>
    <w:rsid w:val="00004D04"/>
    <w:rsid w:val="00005092"/>
    <w:rsid w:val="0000536C"/>
    <w:rsid w:val="000058E9"/>
    <w:rsid w:val="00005F64"/>
    <w:rsid w:val="000062C1"/>
    <w:rsid w:val="00006BF1"/>
    <w:rsid w:val="00006CB5"/>
    <w:rsid w:val="00007F3B"/>
    <w:rsid w:val="00010124"/>
    <w:rsid w:val="00010366"/>
    <w:rsid w:val="000103DB"/>
    <w:rsid w:val="00010997"/>
    <w:rsid w:val="00010AEE"/>
    <w:rsid w:val="00010FC1"/>
    <w:rsid w:val="0001190A"/>
    <w:rsid w:val="00011C44"/>
    <w:rsid w:val="00011CC0"/>
    <w:rsid w:val="00011DB8"/>
    <w:rsid w:val="00012495"/>
    <w:rsid w:val="00012804"/>
    <w:rsid w:val="0001288F"/>
    <w:rsid w:val="00012D07"/>
    <w:rsid w:val="00012EB6"/>
    <w:rsid w:val="00013153"/>
    <w:rsid w:val="0001371C"/>
    <w:rsid w:val="00013A0F"/>
    <w:rsid w:val="00013F40"/>
    <w:rsid w:val="000140D2"/>
    <w:rsid w:val="000146D7"/>
    <w:rsid w:val="000148FC"/>
    <w:rsid w:val="00014ADE"/>
    <w:rsid w:val="0001516B"/>
    <w:rsid w:val="000152B9"/>
    <w:rsid w:val="0001687C"/>
    <w:rsid w:val="0001695B"/>
    <w:rsid w:val="0001737E"/>
    <w:rsid w:val="0001745C"/>
    <w:rsid w:val="00017961"/>
    <w:rsid w:val="00020831"/>
    <w:rsid w:val="00020A42"/>
    <w:rsid w:val="00020E1E"/>
    <w:rsid w:val="00021049"/>
    <w:rsid w:val="000210A4"/>
    <w:rsid w:val="00021A26"/>
    <w:rsid w:val="00021D85"/>
    <w:rsid w:val="0002202D"/>
    <w:rsid w:val="00022739"/>
    <w:rsid w:val="00022D67"/>
    <w:rsid w:val="0002334F"/>
    <w:rsid w:val="00023477"/>
    <w:rsid w:val="000236C7"/>
    <w:rsid w:val="000239CC"/>
    <w:rsid w:val="00023A65"/>
    <w:rsid w:val="00023F00"/>
    <w:rsid w:val="0002400C"/>
    <w:rsid w:val="000241DE"/>
    <w:rsid w:val="000245CF"/>
    <w:rsid w:val="000247E9"/>
    <w:rsid w:val="000249A4"/>
    <w:rsid w:val="00024AAD"/>
    <w:rsid w:val="00024E5A"/>
    <w:rsid w:val="00024FFD"/>
    <w:rsid w:val="00025657"/>
    <w:rsid w:val="0002568B"/>
    <w:rsid w:val="00025790"/>
    <w:rsid w:val="00025A44"/>
    <w:rsid w:val="00025B4F"/>
    <w:rsid w:val="00025C30"/>
    <w:rsid w:val="00025C91"/>
    <w:rsid w:val="0002613A"/>
    <w:rsid w:val="00026518"/>
    <w:rsid w:val="00026B21"/>
    <w:rsid w:val="00027029"/>
    <w:rsid w:val="000274C6"/>
    <w:rsid w:val="0002787F"/>
    <w:rsid w:val="00027AD1"/>
    <w:rsid w:val="00027B7E"/>
    <w:rsid w:val="00027DA6"/>
    <w:rsid w:val="00030C50"/>
    <w:rsid w:val="00030D03"/>
    <w:rsid w:val="000311C0"/>
    <w:rsid w:val="00031962"/>
    <w:rsid w:val="00031994"/>
    <w:rsid w:val="00031B66"/>
    <w:rsid w:val="00032026"/>
    <w:rsid w:val="00032312"/>
    <w:rsid w:val="000323B6"/>
    <w:rsid w:val="00032763"/>
    <w:rsid w:val="0003285F"/>
    <w:rsid w:val="00032AC7"/>
    <w:rsid w:val="00032C82"/>
    <w:rsid w:val="00033015"/>
    <w:rsid w:val="000338B1"/>
    <w:rsid w:val="000338FA"/>
    <w:rsid w:val="00033AF9"/>
    <w:rsid w:val="00033B66"/>
    <w:rsid w:val="00033D9B"/>
    <w:rsid w:val="000341E8"/>
    <w:rsid w:val="0003426D"/>
    <w:rsid w:val="000344F4"/>
    <w:rsid w:val="00034709"/>
    <w:rsid w:val="00034ABD"/>
    <w:rsid w:val="00034B46"/>
    <w:rsid w:val="00034B7E"/>
    <w:rsid w:val="00035255"/>
    <w:rsid w:val="00035466"/>
    <w:rsid w:val="00035793"/>
    <w:rsid w:val="000359CE"/>
    <w:rsid w:val="0003602F"/>
    <w:rsid w:val="00036754"/>
    <w:rsid w:val="00036BAD"/>
    <w:rsid w:val="00037812"/>
    <w:rsid w:val="00037C4B"/>
    <w:rsid w:val="00040E1B"/>
    <w:rsid w:val="00040F18"/>
    <w:rsid w:val="000412AC"/>
    <w:rsid w:val="000416C4"/>
    <w:rsid w:val="00041AA2"/>
    <w:rsid w:val="00041F59"/>
    <w:rsid w:val="00042461"/>
    <w:rsid w:val="0004262E"/>
    <w:rsid w:val="0004313C"/>
    <w:rsid w:val="000433B3"/>
    <w:rsid w:val="00043598"/>
    <w:rsid w:val="0004382F"/>
    <w:rsid w:val="0004386D"/>
    <w:rsid w:val="00043984"/>
    <w:rsid w:val="00043A79"/>
    <w:rsid w:val="00043B52"/>
    <w:rsid w:val="00043B8E"/>
    <w:rsid w:val="0004417D"/>
    <w:rsid w:val="000441AF"/>
    <w:rsid w:val="000442C9"/>
    <w:rsid w:val="00044B61"/>
    <w:rsid w:val="00044D57"/>
    <w:rsid w:val="00044E64"/>
    <w:rsid w:val="00044E70"/>
    <w:rsid w:val="00044F63"/>
    <w:rsid w:val="00044FB2"/>
    <w:rsid w:val="00045811"/>
    <w:rsid w:val="000459AA"/>
    <w:rsid w:val="00045B41"/>
    <w:rsid w:val="00045E28"/>
    <w:rsid w:val="0004616C"/>
    <w:rsid w:val="00046230"/>
    <w:rsid w:val="00046C02"/>
    <w:rsid w:val="00046DE5"/>
    <w:rsid w:val="00046F34"/>
    <w:rsid w:val="00047AB3"/>
    <w:rsid w:val="00047B58"/>
    <w:rsid w:val="000501A1"/>
    <w:rsid w:val="0005090A"/>
    <w:rsid w:val="00050BEA"/>
    <w:rsid w:val="0005100B"/>
    <w:rsid w:val="000511B1"/>
    <w:rsid w:val="00051836"/>
    <w:rsid w:val="00051C81"/>
    <w:rsid w:val="00051E29"/>
    <w:rsid w:val="00051F62"/>
    <w:rsid w:val="0005205C"/>
    <w:rsid w:val="000524CD"/>
    <w:rsid w:val="00052519"/>
    <w:rsid w:val="000526E1"/>
    <w:rsid w:val="00052BDE"/>
    <w:rsid w:val="00052EEC"/>
    <w:rsid w:val="000531DA"/>
    <w:rsid w:val="0005332D"/>
    <w:rsid w:val="0005348C"/>
    <w:rsid w:val="00053799"/>
    <w:rsid w:val="00053B76"/>
    <w:rsid w:val="00053FDE"/>
    <w:rsid w:val="00054045"/>
    <w:rsid w:val="00054C23"/>
    <w:rsid w:val="00055236"/>
    <w:rsid w:val="000558E3"/>
    <w:rsid w:val="000563A1"/>
    <w:rsid w:val="00056563"/>
    <w:rsid w:val="000566FB"/>
    <w:rsid w:val="00056ABC"/>
    <w:rsid w:val="00056B2B"/>
    <w:rsid w:val="00056F49"/>
    <w:rsid w:val="00056FE5"/>
    <w:rsid w:val="00057292"/>
    <w:rsid w:val="000578E6"/>
    <w:rsid w:val="000579BC"/>
    <w:rsid w:val="00057CB8"/>
    <w:rsid w:val="0006004B"/>
    <w:rsid w:val="0006020C"/>
    <w:rsid w:val="00060436"/>
    <w:rsid w:val="000606A9"/>
    <w:rsid w:val="0006091A"/>
    <w:rsid w:val="000609A9"/>
    <w:rsid w:val="000609E6"/>
    <w:rsid w:val="00061007"/>
    <w:rsid w:val="0006122D"/>
    <w:rsid w:val="000613F3"/>
    <w:rsid w:val="000614B8"/>
    <w:rsid w:val="00061B44"/>
    <w:rsid w:val="00062339"/>
    <w:rsid w:val="000623C2"/>
    <w:rsid w:val="000624E4"/>
    <w:rsid w:val="00063006"/>
    <w:rsid w:val="0006378A"/>
    <w:rsid w:val="00063AF3"/>
    <w:rsid w:val="00063C01"/>
    <w:rsid w:val="0006417A"/>
    <w:rsid w:val="00064467"/>
    <w:rsid w:val="00064838"/>
    <w:rsid w:val="00064925"/>
    <w:rsid w:val="00064D68"/>
    <w:rsid w:val="0006530F"/>
    <w:rsid w:val="0006545C"/>
    <w:rsid w:val="00065476"/>
    <w:rsid w:val="0006609F"/>
    <w:rsid w:val="0006629C"/>
    <w:rsid w:val="00066839"/>
    <w:rsid w:val="0006699D"/>
    <w:rsid w:val="00066A93"/>
    <w:rsid w:val="00066C1B"/>
    <w:rsid w:val="000671DF"/>
    <w:rsid w:val="00067581"/>
    <w:rsid w:val="00067616"/>
    <w:rsid w:val="0006761D"/>
    <w:rsid w:val="00067E7A"/>
    <w:rsid w:val="00067FFC"/>
    <w:rsid w:val="00070016"/>
    <w:rsid w:val="00070193"/>
    <w:rsid w:val="000702E4"/>
    <w:rsid w:val="000705DD"/>
    <w:rsid w:val="00070AD8"/>
    <w:rsid w:val="00070DB2"/>
    <w:rsid w:val="000711F5"/>
    <w:rsid w:val="0007134D"/>
    <w:rsid w:val="00071F28"/>
    <w:rsid w:val="0007212F"/>
    <w:rsid w:val="000724D6"/>
    <w:rsid w:val="0007261A"/>
    <w:rsid w:val="000726C3"/>
    <w:rsid w:val="0007282A"/>
    <w:rsid w:val="0007297B"/>
    <w:rsid w:val="00072985"/>
    <w:rsid w:val="00072F32"/>
    <w:rsid w:val="000730AA"/>
    <w:rsid w:val="000730AB"/>
    <w:rsid w:val="000734CF"/>
    <w:rsid w:val="00073BF5"/>
    <w:rsid w:val="00073D15"/>
    <w:rsid w:val="00074023"/>
    <w:rsid w:val="000747C5"/>
    <w:rsid w:val="00074A0C"/>
    <w:rsid w:val="00075129"/>
    <w:rsid w:val="000752DD"/>
    <w:rsid w:val="000756E4"/>
    <w:rsid w:val="000759AB"/>
    <w:rsid w:val="00075CB0"/>
    <w:rsid w:val="00076060"/>
    <w:rsid w:val="0007618D"/>
    <w:rsid w:val="000761D2"/>
    <w:rsid w:val="00076341"/>
    <w:rsid w:val="000773D9"/>
    <w:rsid w:val="00077C51"/>
    <w:rsid w:val="00077D2D"/>
    <w:rsid w:val="00077E7D"/>
    <w:rsid w:val="00077F77"/>
    <w:rsid w:val="00077FF1"/>
    <w:rsid w:val="0008015F"/>
    <w:rsid w:val="0008029A"/>
    <w:rsid w:val="0008066D"/>
    <w:rsid w:val="000808AD"/>
    <w:rsid w:val="00080A48"/>
    <w:rsid w:val="0008134B"/>
    <w:rsid w:val="000817BF"/>
    <w:rsid w:val="00081A4A"/>
    <w:rsid w:val="00081B4B"/>
    <w:rsid w:val="00081BF7"/>
    <w:rsid w:val="00081E83"/>
    <w:rsid w:val="0008255E"/>
    <w:rsid w:val="0008282D"/>
    <w:rsid w:val="000828B5"/>
    <w:rsid w:val="00082B76"/>
    <w:rsid w:val="00082CC2"/>
    <w:rsid w:val="000832D1"/>
    <w:rsid w:val="00083498"/>
    <w:rsid w:val="00083819"/>
    <w:rsid w:val="00084110"/>
    <w:rsid w:val="00084296"/>
    <w:rsid w:val="000844E3"/>
    <w:rsid w:val="00084665"/>
    <w:rsid w:val="00084ABA"/>
    <w:rsid w:val="00084DBB"/>
    <w:rsid w:val="00084F16"/>
    <w:rsid w:val="00085535"/>
    <w:rsid w:val="000857E3"/>
    <w:rsid w:val="00085811"/>
    <w:rsid w:val="00085A9C"/>
    <w:rsid w:val="000862D7"/>
    <w:rsid w:val="000863AF"/>
    <w:rsid w:val="000864C2"/>
    <w:rsid w:val="000869EE"/>
    <w:rsid w:val="0008724C"/>
    <w:rsid w:val="000874A9"/>
    <w:rsid w:val="000875AD"/>
    <w:rsid w:val="000903DA"/>
    <w:rsid w:val="00090553"/>
    <w:rsid w:val="0009059B"/>
    <w:rsid w:val="00090CDE"/>
    <w:rsid w:val="00090FA8"/>
    <w:rsid w:val="000915CB"/>
    <w:rsid w:val="000915FD"/>
    <w:rsid w:val="0009161F"/>
    <w:rsid w:val="00091633"/>
    <w:rsid w:val="000916AC"/>
    <w:rsid w:val="000916E5"/>
    <w:rsid w:val="00091947"/>
    <w:rsid w:val="00091E5C"/>
    <w:rsid w:val="00091F2A"/>
    <w:rsid w:val="0009210A"/>
    <w:rsid w:val="000922DE"/>
    <w:rsid w:val="000924DD"/>
    <w:rsid w:val="00092911"/>
    <w:rsid w:val="00092CF2"/>
    <w:rsid w:val="00092D73"/>
    <w:rsid w:val="00092DD4"/>
    <w:rsid w:val="00092EA7"/>
    <w:rsid w:val="00092FDC"/>
    <w:rsid w:val="00093403"/>
    <w:rsid w:val="00093611"/>
    <w:rsid w:val="00093BA2"/>
    <w:rsid w:val="00094140"/>
    <w:rsid w:val="000942D1"/>
    <w:rsid w:val="00094536"/>
    <w:rsid w:val="00094749"/>
    <w:rsid w:val="00094B30"/>
    <w:rsid w:val="00094B8F"/>
    <w:rsid w:val="00094DEF"/>
    <w:rsid w:val="00094E0E"/>
    <w:rsid w:val="00094E82"/>
    <w:rsid w:val="00094FC3"/>
    <w:rsid w:val="000954C1"/>
    <w:rsid w:val="000954CD"/>
    <w:rsid w:val="000954EC"/>
    <w:rsid w:val="000957E4"/>
    <w:rsid w:val="00095967"/>
    <w:rsid w:val="00095FF3"/>
    <w:rsid w:val="0009632D"/>
    <w:rsid w:val="000966A7"/>
    <w:rsid w:val="00096915"/>
    <w:rsid w:val="00096EB5"/>
    <w:rsid w:val="00096FF0"/>
    <w:rsid w:val="000974A3"/>
    <w:rsid w:val="0009795D"/>
    <w:rsid w:val="00097BB9"/>
    <w:rsid w:val="00097C07"/>
    <w:rsid w:val="00097FDC"/>
    <w:rsid w:val="000A0099"/>
    <w:rsid w:val="000A037C"/>
    <w:rsid w:val="000A09C5"/>
    <w:rsid w:val="000A0A85"/>
    <w:rsid w:val="000A10D6"/>
    <w:rsid w:val="000A1434"/>
    <w:rsid w:val="000A1AD2"/>
    <w:rsid w:val="000A1ADF"/>
    <w:rsid w:val="000A1B41"/>
    <w:rsid w:val="000A1C21"/>
    <w:rsid w:val="000A1DD3"/>
    <w:rsid w:val="000A23A0"/>
    <w:rsid w:val="000A23D2"/>
    <w:rsid w:val="000A23DC"/>
    <w:rsid w:val="000A2739"/>
    <w:rsid w:val="000A2B86"/>
    <w:rsid w:val="000A2D5B"/>
    <w:rsid w:val="000A307B"/>
    <w:rsid w:val="000A35B4"/>
    <w:rsid w:val="000A3B55"/>
    <w:rsid w:val="000A3BA1"/>
    <w:rsid w:val="000A40A3"/>
    <w:rsid w:val="000A424B"/>
    <w:rsid w:val="000A4943"/>
    <w:rsid w:val="000A5047"/>
    <w:rsid w:val="000A50A8"/>
    <w:rsid w:val="000A53C7"/>
    <w:rsid w:val="000A57FF"/>
    <w:rsid w:val="000A58AE"/>
    <w:rsid w:val="000A58CF"/>
    <w:rsid w:val="000A62D3"/>
    <w:rsid w:val="000A636B"/>
    <w:rsid w:val="000A68EE"/>
    <w:rsid w:val="000A72D6"/>
    <w:rsid w:val="000A768B"/>
    <w:rsid w:val="000A76E0"/>
    <w:rsid w:val="000A7C1A"/>
    <w:rsid w:val="000A7C81"/>
    <w:rsid w:val="000A7D61"/>
    <w:rsid w:val="000B0335"/>
    <w:rsid w:val="000B06C9"/>
    <w:rsid w:val="000B096C"/>
    <w:rsid w:val="000B09C2"/>
    <w:rsid w:val="000B0B01"/>
    <w:rsid w:val="000B10B8"/>
    <w:rsid w:val="000B1423"/>
    <w:rsid w:val="000B1473"/>
    <w:rsid w:val="000B15F4"/>
    <w:rsid w:val="000B18DB"/>
    <w:rsid w:val="000B1F6A"/>
    <w:rsid w:val="000B231B"/>
    <w:rsid w:val="000B2404"/>
    <w:rsid w:val="000B2619"/>
    <w:rsid w:val="000B2DA1"/>
    <w:rsid w:val="000B2FD1"/>
    <w:rsid w:val="000B388D"/>
    <w:rsid w:val="000B39CF"/>
    <w:rsid w:val="000B3B55"/>
    <w:rsid w:val="000B3C48"/>
    <w:rsid w:val="000B3FDD"/>
    <w:rsid w:val="000B4208"/>
    <w:rsid w:val="000B45B7"/>
    <w:rsid w:val="000B4947"/>
    <w:rsid w:val="000B4AF9"/>
    <w:rsid w:val="000B4D82"/>
    <w:rsid w:val="000B5060"/>
    <w:rsid w:val="000B5133"/>
    <w:rsid w:val="000B534B"/>
    <w:rsid w:val="000B5661"/>
    <w:rsid w:val="000B5A4C"/>
    <w:rsid w:val="000B5C99"/>
    <w:rsid w:val="000B63B1"/>
    <w:rsid w:val="000B6E6E"/>
    <w:rsid w:val="000B704D"/>
    <w:rsid w:val="000B70FD"/>
    <w:rsid w:val="000B7F15"/>
    <w:rsid w:val="000B7F7A"/>
    <w:rsid w:val="000C0275"/>
    <w:rsid w:val="000C0559"/>
    <w:rsid w:val="000C06C5"/>
    <w:rsid w:val="000C0745"/>
    <w:rsid w:val="000C148B"/>
    <w:rsid w:val="000C1751"/>
    <w:rsid w:val="000C1AFD"/>
    <w:rsid w:val="000C1FF3"/>
    <w:rsid w:val="000C20BC"/>
    <w:rsid w:val="000C220F"/>
    <w:rsid w:val="000C2460"/>
    <w:rsid w:val="000C2492"/>
    <w:rsid w:val="000C27EE"/>
    <w:rsid w:val="000C28C0"/>
    <w:rsid w:val="000C2DED"/>
    <w:rsid w:val="000C2F08"/>
    <w:rsid w:val="000C2F71"/>
    <w:rsid w:val="000C3062"/>
    <w:rsid w:val="000C3BFA"/>
    <w:rsid w:val="000C40FF"/>
    <w:rsid w:val="000C42C0"/>
    <w:rsid w:val="000C49E7"/>
    <w:rsid w:val="000C4A2A"/>
    <w:rsid w:val="000C4BCC"/>
    <w:rsid w:val="000C4BDD"/>
    <w:rsid w:val="000C4DED"/>
    <w:rsid w:val="000C542B"/>
    <w:rsid w:val="000C56B4"/>
    <w:rsid w:val="000C5F9D"/>
    <w:rsid w:val="000C60D1"/>
    <w:rsid w:val="000C62AF"/>
    <w:rsid w:val="000C643D"/>
    <w:rsid w:val="000C67A6"/>
    <w:rsid w:val="000C6853"/>
    <w:rsid w:val="000C691A"/>
    <w:rsid w:val="000C6DA0"/>
    <w:rsid w:val="000C75BD"/>
    <w:rsid w:val="000C771B"/>
    <w:rsid w:val="000C7C88"/>
    <w:rsid w:val="000C7CDF"/>
    <w:rsid w:val="000C7D6C"/>
    <w:rsid w:val="000C7D71"/>
    <w:rsid w:val="000C7E37"/>
    <w:rsid w:val="000D05C3"/>
    <w:rsid w:val="000D089A"/>
    <w:rsid w:val="000D0EFE"/>
    <w:rsid w:val="000D1006"/>
    <w:rsid w:val="000D1126"/>
    <w:rsid w:val="000D152C"/>
    <w:rsid w:val="000D1881"/>
    <w:rsid w:val="000D19A4"/>
    <w:rsid w:val="000D1AAE"/>
    <w:rsid w:val="000D1C84"/>
    <w:rsid w:val="000D2287"/>
    <w:rsid w:val="000D229D"/>
    <w:rsid w:val="000D2B00"/>
    <w:rsid w:val="000D3ACB"/>
    <w:rsid w:val="000D44FD"/>
    <w:rsid w:val="000D4FE4"/>
    <w:rsid w:val="000D50B5"/>
    <w:rsid w:val="000D550A"/>
    <w:rsid w:val="000D575D"/>
    <w:rsid w:val="000D5A36"/>
    <w:rsid w:val="000D5D9D"/>
    <w:rsid w:val="000D62E7"/>
    <w:rsid w:val="000D6654"/>
    <w:rsid w:val="000D6CBD"/>
    <w:rsid w:val="000D6D12"/>
    <w:rsid w:val="000D6F15"/>
    <w:rsid w:val="000D6FDA"/>
    <w:rsid w:val="000D73D8"/>
    <w:rsid w:val="000D7811"/>
    <w:rsid w:val="000D7C52"/>
    <w:rsid w:val="000E10B7"/>
    <w:rsid w:val="000E1283"/>
    <w:rsid w:val="000E12C0"/>
    <w:rsid w:val="000E1448"/>
    <w:rsid w:val="000E1C10"/>
    <w:rsid w:val="000E1C53"/>
    <w:rsid w:val="000E1F2D"/>
    <w:rsid w:val="000E2194"/>
    <w:rsid w:val="000E21C6"/>
    <w:rsid w:val="000E2442"/>
    <w:rsid w:val="000E25CC"/>
    <w:rsid w:val="000E26BC"/>
    <w:rsid w:val="000E271C"/>
    <w:rsid w:val="000E2855"/>
    <w:rsid w:val="000E2C2E"/>
    <w:rsid w:val="000E2C3A"/>
    <w:rsid w:val="000E2F2F"/>
    <w:rsid w:val="000E3649"/>
    <w:rsid w:val="000E3683"/>
    <w:rsid w:val="000E38B4"/>
    <w:rsid w:val="000E3DFE"/>
    <w:rsid w:val="000E4106"/>
    <w:rsid w:val="000E4F12"/>
    <w:rsid w:val="000E52AD"/>
    <w:rsid w:val="000E52C2"/>
    <w:rsid w:val="000E52F0"/>
    <w:rsid w:val="000E54B2"/>
    <w:rsid w:val="000E55BB"/>
    <w:rsid w:val="000E5DCB"/>
    <w:rsid w:val="000E603F"/>
    <w:rsid w:val="000E60E0"/>
    <w:rsid w:val="000E61FF"/>
    <w:rsid w:val="000E64CA"/>
    <w:rsid w:val="000E6543"/>
    <w:rsid w:val="000E6744"/>
    <w:rsid w:val="000E6807"/>
    <w:rsid w:val="000E6D7E"/>
    <w:rsid w:val="000E6FBC"/>
    <w:rsid w:val="000E7163"/>
    <w:rsid w:val="000E720B"/>
    <w:rsid w:val="000E7446"/>
    <w:rsid w:val="000E74A8"/>
    <w:rsid w:val="000E7642"/>
    <w:rsid w:val="000E77AA"/>
    <w:rsid w:val="000E7810"/>
    <w:rsid w:val="000E7DD3"/>
    <w:rsid w:val="000F001A"/>
    <w:rsid w:val="000F0220"/>
    <w:rsid w:val="000F0735"/>
    <w:rsid w:val="000F0B0D"/>
    <w:rsid w:val="000F14B7"/>
    <w:rsid w:val="000F1802"/>
    <w:rsid w:val="000F19F4"/>
    <w:rsid w:val="000F259A"/>
    <w:rsid w:val="000F2907"/>
    <w:rsid w:val="000F2A5E"/>
    <w:rsid w:val="000F3062"/>
    <w:rsid w:val="000F31F1"/>
    <w:rsid w:val="000F34A6"/>
    <w:rsid w:val="000F36C7"/>
    <w:rsid w:val="000F39E1"/>
    <w:rsid w:val="000F3B4E"/>
    <w:rsid w:val="000F3DB3"/>
    <w:rsid w:val="000F41AC"/>
    <w:rsid w:val="000F42D1"/>
    <w:rsid w:val="000F4538"/>
    <w:rsid w:val="000F46A9"/>
    <w:rsid w:val="000F46B3"/>
    <w:rsid w:val="000F488E"/>
    <w:rsid w:val="000F4A97"/>
    <w:rsid w:val="000F4C24"/>
    <w:rsid w:val="000F4C95"/>
    <w:rsid w:val="000F4CB2"/>
    <w:rsid w:val="000F534C"/>
    <w:rsid w:val="000F5474"/>
    <w:rsid w:val="000F5854"/>
    <w:rsid w:val="000F595A"/>
    <w:rsid w:val="000F5CA5"/>
    <w:rsid w:val="000F6277"/>
    <w:rsid w:val="000F6300"/>
    <w:rsid w:val="000F6351"/>
    <w:rsid w:val="000F6583"/>
    <w:rsid w:val="000F66CC"/>
    <w:rsid w:val="000F69A6"/>
    <w:rsid w:val="000F6D2B"/>
    <w:rsid w:val="000F6E2B"/>
    <w:rsid w:val="000F6F52"/>
    <w:rsid w:val="000F712B"/>
    <w:rsid w:val="000F7446"/>
    <w:rsid w:val="000F77F3"/>
    <w:rsid w:val="000F7D17"/>
    <w:rsid w:val="000F7D9B"/>
    <w:rsid w:val="000F7F88"/>
    <w:rsid w:val="0010002E"/>
    <w:rsid w:val="001000D5"/>
    <w:rsid w:val="001000EC"/>
    <w:rsid w:val="0010044E"/>
    <w:rsid w:val="00100579"/>
    <w:rsid w:val="001012FE"/>
    <w:rsid w:val="0010185E"/>
    <w:rsid w:val="001019C7"/>
    <w:rsid w:val="00101CBF"/>
    <w:rsid w:val="00101EB1"/>
    <w:rsid w:val="001023F1"/>
    <w:rsid w:val="0010250D"/>
    <w:rsid w:val="001028B6"/>
    <w:rsid w:val="0010307C"/>
    <w:rsid w:val="001031B1"/>
    <w:rsid w:val="0010344D"/>
    <w:rsid w:val="0010350D"/>
    <w:rsid w:val="0010387F"/>
    <w:rsid w:val="00104C52"/>
    <w:rsid w:val="00104DC2"/>
    <w:rsid w:val="00104EA7"/>
    <w:rsid w:val="0010536A"/>
    <w:rsid w:val="00105BAF"/>
    <w:rsid w:val="00105F8C"/>
    <w:rsid w:val="00106443"/>
    <w:rsid w:val="00106A59"/>
    <w:rsid w:val="00106D64"/>
    <w:rsid w:val="00106F16"/>
    <w:rsid w:val="00106F4B"/>
    <w:rsid w:val="0010717E"/>
    <w:rsid w:val="001071E9"/>
    <w:rsid w:val="001073EF"/>
    <w:rsid w:val="00107951"/>
    <w:rsid w:val="00107E88"/>
    <w:rsid w:val="00107F86"/>
    <w:rsid w:val="001101F6"/>
    <w:rsid w:val="00110AB0"/>
    <w:rsid w:val="0011105A"/>
    <w:rsid w:val="00111343"/>
    <w:rsid w:val="0011154E"/>
    <w:rsid w:val="001120B9"/>
    <w:rsid w:val="001122AB"/>
    <w:rsid w:val="001123A9"/>
    <w:rsid w:val="0011281E"/>
    <w:rsid w:val="00112EA9"/>
    <w:rsid w:val="00112F1D"/>
    <w:rsid w:val="00112FD1"/>
    <w:rsid w:val="001130FF"/>
    <w:rsid w:val="0011318C"/>
    <w:rsid w:val="001134BF"/>
    <w:rsid w:val="00113864"/>
    <w:rsid w:val="00113F83"/>
    <w:rsid w:val="001143F1"/>
    <w:rsid w:val="00114A69"/>
    <w:rsid w:val="00114C8E"/>
    <w:rsid w:val="00114EC6"/>
    <w:rsid w:val="00115118"/>
    <w:rsid w:val="00115642"/>
    <w:rsid w:val="00115995"/>
    <w:rsid w:val="00115B51"/>
    <w:rsid w:val="00115D79"/>
    <w:rsid w:val="001161C4"/>
    <w:rsid w:val="00116345"/>
    <w:rsid w:val="0011650E"/>
    <w:rsid w:val="001174CB"/>
    <w:rsid w:val="00117772"/>
    <w:rsid w:val="001178C0"/>
    <w:rsid w:val="00117BE2"/>
    <w:rsid w:val="00120644"/>
    <w:rsid w:val="001206B7"/>
    <w:rsid w:val="00120718"/>
    <w:rsid w:val="00120B85"/>
    <w:rsid w:val="00120D59"/>
    <w:rsid w:val="001211E6"/>
    <w:rsid w:val="00121317"/>
    <w:rsid w:val="001221EF"/>
    <w:rsid w:val="00122200"/>
    <w:rsid w:val="001227DC"/>
    <w:rsid w:val="00122ACE"/>
    <w:rsid w:val="00122C85"/>
    <w:rsid w:val="001230A3"/>
    <w:rsid w:val="001235DD"/>
    <w:rsid w:val="0012418D"/>
    <w:rsid w:val="001242CC"/>
    <w:rsid w:val="00124574"/>
    <w:rsid w:val="00124FC9"/>
    <w:rsid w:val="00125778"/>
    <w:rsid w:val="00125CBE"/>
    <w:rsid w:val="00125FBE"/>
    <w:rsid w:val="00126206"/>
    <w:rsid w:val="001262B1"/>
    <w:rsid w:val="001265DE"/>
    <w:rsid w:val="001266B5"/>
    <w:rsid w:val="00126903"/>
    <w:rsid w:val="00126B57"/>
    <w:rsid w:val="00126B78"/>
    <w:rsid w:val="00127AD5"/>
    <w:rsid w:val="00127D25"/>
    <w:rsid w:val="00127FBC"/>
    <w:rsid w:val="001302C6"/>
    <w:rsid w:val="001305DE"/>
    <w:rsid w:val="00130749"/>
    <w:rsid w:val="00130765"/>
    <w:rsid w:val="00130A23"/>
    <w:rsid w:val="00130B44"/>
    <w:rsid w:val="00130CC3"/>
    <w:rsid w:val="00130F32"/>
    <w:rsid w:val="00131682"/>
    <w:rsid w:val="00131ADF"/>
    <w:rsid w:val="001322C7"/>
    <w:rsid w:val="001323EE"/>
    <w:rsid w:val="00132B0A"/>
    <w:rsid w:val="00132B93"/>
    <w:rsid w:val="00132F77"/>
    <w:rsid w:val="001330DE"/>
    <w:rsid w:val="001339B8"/>
    <w:rsid w:val="00133B76"/>
    <w:rsid w:val="00133CE7"/>
    <w:rsid w:val="00133F1F"/>
    <w:rsid w:val="00133F9F"/>
    <w:rsid w:val="00134138"/>
    <w:rsid w:val="00134588"/>
    <w:rsid w:val="0013465B"/>
    <w:rsid w:val="00134794"/>
    <w:rsid w:val="001348F0"/>
    <w:rsid w:val="0013503C"/>
    <w:rsid w:val="00135166"/>
    <w:rsid w:val="00135251"/>
    <w:rsid w:val="001353DD"/>
    <w:rsid w:val="0013547E"/>
    <w:rsid w:val="00135508"/>
    <w:rsid w:val="001357B6"/>
    <w:rsid w:val="001358F7"/>
    <w:rsid w:val="00135BD0"/>
    <w:rsid w:val="0013600B"/>
    <w:rsid w:val="00136042"/>
    <w:rsid w:val="00136373"/>
    <w:rsid w:val="00136760"/>
    <w:rsid w:val="00136814"/>
    <w:rsid w:val="001368D2"/>
    <w:rsid w:val="00136A7F"/>
    <w:rsid w:val="00137522"/>
    <w:rsid w:val="001401D3"/>
    <w:rsid w:val="00140499"/>
    <w:rsid w:val="00140592"/>
    <w:rsid w:val="00140768"/>
    <w:rsid w:val="001408C1"/>
    <w:rsid w:val="00140ABA"/>
    <w:rsid w:val="00140C93"/>
    <w:rsid w:val="00140F85"/>
    <w:rsid w:val="0014164E"/>
    <w:rsid w:val="00141A09"/>
    <w:rsid w:val="001423F7"/>
    <w:rsid w:val="00142584"/>
    <w:rsid w:val="001429AF"/>
    <w:rsid w:val="00142B06"/>
    <w:rsid w:val="00143772"/>
    <w:rsid w:val="00143EE1"/>
    <w:rsid w:val="001443D1"/>
    <w:rsid w:val="0014459B"/>
    <w:rsid w:val="001449A5"/>
    <w:rsid w:val="00144D43"/>
    <w:rsid w:val="00144D9B"/>
    <w:rsid w:val="001451CB"/>
    <w:rsid w:val="0014523E"/>
    <w:rsid w:val="001453F4"/>
    <w:rsid w:val="001453FA"/>
    <w:rsid w:val="001462B0"/>
    <w:rsid w:val="001464FB"/>
    <w:rsid w:val="0014696C"/>
    <w:rsid w:val="001469D5"/>
    <w:rsid w:val="00146D03"/>
    <w:rsid w:val="00146E7D"/>
    <w:rsid w:val="00146EDB"/>
    <w:rsid w:val="00146FA6"/>
    <w:rsid w:val="00147177"/>
    <w:rsid w:val="0014722B"/>
    <w:rsid w:val="00147290"/>
    <w:rsid w:val="001472A2"/>
    <w:rsid w:val="001473F3"/>
    <w:rsid w:val="00147A10"/>
    <w:rsid w:val="00147BC3"/>
    <w:rsid w:val="00147DC2"/>
    <w:rsid w:val="00147E91"/>
    <w:rsid w:val="00150882"/>
    <w:rsid w:val="00150C72"/>
    <w:rsid w:val="00151033"/>
    <w:rsid w:val="00151235"/>
    <w:rsid w:val="001519AA"/>
    <w:rsid w:val="00151B14"/>
    <w:rsid w:val="00151CD8"/>
    <w:rsid w:val="00151FF7"/>
    <w:rsid w:val="001528DA"/>
    <w:rsid w:val="00153090"/>
    <w:rsid w:val="001532A3"/>
    <w:rsid w:val="0015333B"/>
    <w:rsid w:val="001533DC"/>
    <w:rsid w:val="0015345A"/>
    <w:rsid w:val="00153565"/>
    <w:rsid w:val="0015377F"/>
    <w:rsid w:val="00153C33"/>
    <w:rsid w:val="0015402F"/>
    <w:rsid w:val="0015419F"/>
    <w:rsid w:val="00154322"/>
    <w:rsid w:val="001544FC"/>
    <w:rsid w:val="00154706"/>
    <w:rsid w:val="00154E58"/>
    <w:rsid w:val="00154EDD"/>
    <w:rsid w:val="001552BD"/>
    <w:rsid w:val="0015563C"/>
    <w:rsid w:val="001565BE"/>
    <w:rsid w:val="0015663E"/>
    <w:rsid w:val="0015669D"/>
    <w:rsid w:val="00156874"/>
    <w:rsid w:val="001569BF"/>
    <w:rsid w:val="00156E69"/>
    <w:rsid w:val="001572B1"/>
    <w:rsid w:val="0015759D"/>
    <w:rsid w:val="0015767A"/>
    <w:rsid w:val="001577A2"/>
    <w:rsid w:val="00157BA7"/>
    <w:rsid w:val="00157CBD"/>
    <w:rsid w:val="0016024C"/>
    <w:rsid w:val="00160F83"/>
    <w:rsid w:val="00160FE8"/>
    <w:rsid w:val="0016191C"/>
    <w:rsid w:val="00161E00"/>
    <w:rsid w:val="00161FC9"/>
    <w:rsid w:val="001620B5"/>
    <w:rsid w:val="00162149"/>
    <w:rsid w:val="0016366F"/>
    <w:rsid w:val="00163923"/>
    <w:rsid w:val="00163A8D"/>
    <w:rsid w:val="00163B6D"/>
    <w:rsid w:val="00163D45"/>
    <w:rsid w:val="00163EDB"/>
    <w:rsid w:val="00164055"/>
    <w:rsid w:val="001641F5"/>
    <w:rsid w:val="001649A9"/>
    <w:rsid w:val="00165081"/>
    <w:rsid w:val="001650A1"/>
    <w:rsid w:val="0016528B"/>
    <w:rsid w:val="001654B4"/>
    <w:rsid w:val="00165AC5"/>
    <w:rsid w:val="00165DE0"/>
    <w:rsid w:val="001660EE"/>
    <w:rsid w:val="0016612F"/>
    <w:rsid w:val="00166316"/>
    <w:rsid w:val="00166366"/>
    <w:rsid w:val="00166511"/>
    <w:rsid w:val="00166602"/>
    <w:rsid w:val="001677BB"/>
    <w:rsid w:val="00167952"/>
    <w:rsid w:val="00167ED7"/>
    <w:rsid w:val="00170030"/>
    <w:rsid w:val="0017020E"/>
    <w:rsid w:val="001702EB"/>
    <w:rsid w:val="0017030C"/>
    <w:rsid w:val="00170AC1"/>
    <w:rsid w:val="00170F0E"/>
    <w:rsid w:val="001711C1"/>
    <w:rsid w:val="00171594"/>
    <w:rsid w:val="00171783"/>
    <w:rsid w:val="00171B6E"/>
    <w:rsid w:val="00172235"/>
    <w:rsid w:val="00172738"/>
    <w:rsid w:val="001729A6"/>
    <w:rsid w:val="001729EA"/>
    <w:rsid w:val="00172B23"/>
    <w:rsid w:val="00172CDB"/>
    <w:rsid w:val="00173628"/>
    <w:rsid w:val="00173894"/>
    <w:rsid w:val="001748DF"/>
    <w:rsid w:val="00174A75"/>
    <w:rsid w:val="00174BC6"/>
    <w:rsid w:val="001754B5"/>
    <w:rsid w:val="00175648"/>
    <w:rsid w:val="00175819"/>
    <w:rsid w:val="00175927"/>
    <w:rsid w:val="00175A40"/>
    <w:rsid w:val="00176730"/>
    <w:rsid w:val="001768F3"/>
    <w:rsid w:val="00176EFE"/>
    <w:rsid w:val="001775AC"/>
    <w:rsid w:val="0017763D"/>
    <w:rsid w:val="001777BF"/>
    <w:rsid w:val="00177CCA"/>
    <w:rsid w:val="00177D6B"/>
    <w:rsid w:val="001800A6"/>
    <w:rsid w:val="00180151"/>
    <w:rsid w:val="0018038A"/>
    <w:rsid w:val="001804E3"/>
    <w:rsid w:val="00180951"/>
    <w:rsid w:val="001818B9"/>
    <w:rsid w:val="001819F8"/>
    <w:rsid w:val="00181A60"/>
    <w:rsid w:val="001828CC"/>
    <w:rsid w:val="001829EA"/>
    <w:rsid w:val="00182BD8"/>
    <w:rsid w:val="00182CD9"/>
    <w:rsid w:val="00183354"/>
    <w:rsid w:val="00183709"/>
    <w:rsid w:val="0018393A"/>
    <w:rsid w:val="00183B61"/>
    <w:rsid w:val="0018453C"/>
    <w:rsid w:val="00184CF0"/>
    <w:rsid w:val="00184D04"/>
    <w:rsid w:val="0018580D"/>
    <w:rsid w:val="00185E69"/>
    <w:rsid w:val="001863FA"/>
    <w:rsid w:val="0018649C"/>
    <w:rsid w:val="00186BCE"/>
    <w:rsid w:val="00186D26"/>
    <w:rsid w:val="00186F24"/>
    <w:rsid w:val="0018703C"/>
    <w:rsid w:val="0018714C"/>
    <w:rsid w:val="0018766A"/>
    <w:rsid w:val="001878C9"/>
    <w:rsid w:val="00187C5B"/>
    <w:rsid w:val="00187E6D"/>
    <w:rsid w:val="00187EC5"/>
    <w:rsid w:val="0019022E"/>
    <w:rsid w:val="0019029F"/>
    <w:rsid w:val="00190472"/>
    <w:rsid w:val="0019098E"/>
    <w:rsid w:val="00191285"/>
    <w:rsid w:val="001913E9"/>
    <w:rsid w:val="00191540"/>
    <w:rsid w:val="00191A99"/>
    <w:rsid w:val="00191B3C"/>
    <w:rsid w:val="00191BF6"/>
    <w:rsid w:val="00191FFD"/>
    <w:rsid w:val="00192072"/>
    <w:rsid w:val="001922F7"/>
    <w:rsid w:val="00192371"/>
    <w:rsid w:val="00192B13"/>
    <w:rsid w:val="001934EC"/>
    <w:rsid w:val="001936EB"/>
    <w:rsid w:val="001938CF"/>
    <w:rsid w:val="00194147"/>
    <w:rsid w:val="001948B0"/>
    <w:rsid w:val="001951C1"/>
    <w:rsid w:val="00195308"/>
    <w:rsid w:val="00195444"/>
    <w:rsid w:val="00195653"/>
    <w:rsid w:val="00195864"/>
    <w:rsid w:val="00195900"/>
    <w:rsid w:val="00195BA1"/>
    <w:rsid w:val="00195E54"/>
    <w:rsid w:val="00195F51"/>
    <w:rsid w:val="0019661B"/>
    <w:rsid w:val="00196E21"/>
    <w:rsid w:val="00196FFD"/>
    <w:rsid w:val="001972DF"/>
    <w:rsid w:val="00197509"/>
    <w:rsid w:val="001978B5"/>
    <w:rsid w:val="00197F99"/>
    <w:rsid w:val="001A03A9"/>
    <w:rsid w:val="001A05E5"/>
    <w:rsid w:val="001A08A8"/>
    <w:rsid w:val="001A0B55"/>
    <w:rsid w:val="001A0F68"/>
    <w:rsid w:val="001A169D"/>
    <w:rsid w:val="001A17A8"/>
    <w:rsid w:val="001A2117"/>
    <w:rsid w:val="001A25BC"/>
    <w:rsid w:val="001A2997"/>
    <w:rsid w:val="001A2A3C"/>
    <w:rsid w:val="001A2C5C"/>
    <w:rsid w:val="001A2DB1"/>
    <w:rsid w:val="001A2F42"/>
    <w:rsid w:val="001A397F"/>
    <w:rsid w:val="001A3998"/>
    <w:rsid w:val="001A39CB"/>
    <w:rsid w:val="001A3CC9"/>
    <w:rsid w:val="001A40D4"/>
    <w:rsid w:val="001A46AC"/>
    <w:rsid w:val="001A471D"/>
    <w:rsid w:val="001A51D0"/>
    <w:rsid w:val="001A542D"/>
    <w:rsid w:val="001A5647"/>
    <w:rsid w:val="001A5C58"/>
    <w:rsid w:val="001A5CD4"/>
    <w:rsid w:val="001A5E84"/>
    <w:rsid w:val="001A5F81"/>
    <w:rsid w:val="001A6397"/>
    <w:rsid w:val="001A63F5"/>
    <w:rsid w:val="001A656C"/>
    <w:rsid w:val="001A662F"/>
    <w:rsid w:val="001A72C8"/>
    <w:rsid w:val="001A7373"/>
    <w:rsid w:val="001A7650"/>
    <w:rsid w:val="001A76B7"/>
    <w:rsid w:val="001A7C17"/>
    <w:rsid w:val="001A7D79"/>
    <w:rsid w:val="001B0180"/>
    <w:rsid w:val="001B047E"/>
    <w:rsid w:val="001B051F"/>
    <w:rsid w:val="001B0785"/>
    <w:rsid w:val="001B07F9"/>
    <w:rsid w:val="001B0A01"/>
    <w:rsid w:val="001B0EA7"/>
    <w:rsid w:val="001B12A9"/>
    <w:rsid w:val="001B1301"/>
    <w:rsid w:val="001B136F"/>
    <w:rsid w:val="001B14BE"/>
    <w:rsid w:val="001B15F3"/>
    <w:rsid w:val="001B16A9"/>
    <w:rsid w:val="001B1919"/>
    <w:rsid w:val="001B191C"/>
    <w:rsid w:val="001B1D70"/>
    <w:rsid w:val="001B1E0C"/>
    <w:rsid w:val="001B1E5E"/>
    <w:rsid w:val="001B2047"/>
    <w:rsid w:val="001B27F3"/>
    <w:rsid w:val="001B281E"/>
    <w:rsid w:val="001B2D32"/>
    <w:rsid w:val="001B2E0D"/>
    <w:rsid w:val="001B379C"/>
    <w:rsid w:val="001B3855"/>
    <w:rsid w:val="001B3B82"/>
    <w:rsid w:val="001B40C8"/>
    <w:rsid w:val="001B431D"/>
    <w:rsid w:val="001B4363"/>
    <w:rsid w:val="001B47E3"/>
    <w:rsid w:val="001B5567"/>
    <w:rsid w:val="001B5BF3"/>
    <w:rsid w:val="001B5CFE"/>
    <w:rsid w:val="001B5DF5"/>
    <w:rsid w:val="001B5ECA"/>
    <w:rsid w:val="001B612F"/>
    <w:rsid w:val="001B633D"/>
    <w:rsid w:val="001B6445"/>
    <w:rsid w:val="001B6545"/>
    <w:rsid w:val="001B6DB8"/>
    <w:rsid w:val="001B6E03"/>
    <w:rsid w:val="001B6ED1"/>
    <w:rsid w:val="001B7304"/>
    <w:rsid w:val="001B7365"/>
    <w:rsid w:val="001B7F15"/>
    <w:rsid w:val="001B7F42"/>
    <w:rsid w:val="001B7F9B"/>
    <w:rsid w:val="001C002D"/>
    <w:rsid w:val="001C034B"/>
    <w:rsid w:val="001C0650"/>
    <w:rsid w:val="001C0B0D"/>
    <w:rsid w:val="001C0F61"/>
    <w:rsid w:val="001C1238"/>
    <w:rsid w:val="001C13D8"/>
    <w:rsid w:val="001C14E0"/>
    <w:rsid w:val="001C1F08"/>
    <w:rsid w:val="001C2107"/>
    <w:rsid w:val="001C224C"/>
    <w:rsid w:val="001C2481"/>
    <w:rsid w:val="001C284B"/>
    <w:rsid w:val="001C2A9B"/>
    <w:rsid w:val="001C2D4C"/>
    <w:rsid w:val="001C2D50"/>
    <w:rsid w:val="001C2F18"/>
    <w:rsid w:val="001C4458"/>
    <w:rsid w:val="001C461C"/>
    <w:rsid w:val="001C47DB"/>
    <w:rsid w:val="001C49B8"/>
    <w:rsid w:val="001C4D85"/>
    <w:rsid w:val="001C4E7F"/>
    <w:rsid w:val="001C55B6"/>
    <w:rsid w:val="001C599E"/>
    <w:rsid w:val="001C5BDF"/>
    <w:rsid w:val="001C5D60"/>
    <w:rsid w:val="001C6196"/>
    <w:rsid w:val="001C6234"/>
    <w:rsid w:val="001C648C"/>
    <w:rsid w:val="001C78D5"/>
    <w:rsid w:val="001C7CA8"/>
    <w:rsid w:val="001C7D24"/>
    <w:rsid w:val="001D0090"/>
    <w:rsid w:val="001D047F"/>
    <w:rsid w:val="001D081C"/>
    <w:rsid w:val="001D0B61"/>
    <w:rsid w:val="001D1174"/>
    <w:rsid w:val="001D1A60"/>
    <w:rsid w:val="001D1E82"/>
    <w:rsid w:val="001D2463"/>
    <w:rsid w:val="001D24E4"/>
    <w:rsid w:val="001D285F"/>
    <w:rsid w:val="001D2BD5"/>
    <w:rsid w:val="001D3712"/>
    <w:rsid w:val="001D3F18"/>
    <w:rsid w:val="001D4148"/>
    <w:rsid w:val="001D443C"/>
    <w:rsid w:val="001D5472"/>
    <w:rsid w:val="001D56FB"/>
    <w:rsid w:val="001D5892"/>
    <w:rsid w:val="001D59D0"/>
    <w:rsid w:val="001D5D4B"/>
    <w:rsid w:val="001D5DB6"/>
    <w:rsid w:val="001D62B7"/>
    <w:rsid w:val="001D6389"/>
    <w:rsid w:val="001D6CCB"/>
    <w:rsid w:val="001D74A6"/>
    <w:rsid w:val="001D7539"/>
    <w:rsid w:val="001D760F"/>
    <w:rsid w:val="001D7AD2"/>
    <w:rsid w:val="001D7C4C"/>
    <w:rsid w:val="001D7D48"/>
    <w:rsid w:val="001D7F01"/>
    <w:rsid w:val="001E03EB"/>
    <w:rsid w:val="001E1444"/>
    <w:rsid w:val="001E2354"/>
    <w:rsid w:val="001E281A"/>
    <w:rsid w:val="001E297B"/>
    <w:rsid w:val="001E2CDA"/>
    <w:rsid w:val="001E2D37"/>
    <w:rsid w:val="001E3271"/>
    <w:rsid w:val="001E3C87"/>
    <w:rsid w:val="001E3CDD"/>
    <w:rsid w:val="001E3D5A"/>
    <w:rsid w:val="001E42CA"/>
    <w:rsid w:val="001E43A1"/>
    <w:rsid w:val="001E45D3"/>
    <w:rsid w:val="001E48CA"/>
    <w:rsid w:val="001E4B3B"/>
    <w:rsid w:val="001E4C23"/>
    <w:rsid w:val="001E5042"/>
    <w:rsid w:val="001E515D"/>
    <w:rsid w:val="001E53F8"/>
    <w:rsid w:val="001E5847"/>
    <w:rsid w:val="001E5FFE"/>
    <w:rsid w:val="001E604F"/>
    <w:rsid w:val="001E6491"/>
    <w:rsid w:val="001E64BA"/>
    <w:rsid w:val="001E69C2"/>
    <w:rsid w:val="001E6C00"/>
    <w:rsid w:val="001E7188"/>
    <w:rsid w:val="001E71B9"/>
    <w:rsid w:val="001E7F96"/>
    <w:rsid w:val="001E7FA0"/>
    <w:rsid w:val="001F0065"/>
    <w:rsid w:val="001F0803"/>
    <w:rsid w:val="001F0892"/>
    <w:rsid w:val="001F0910"/>
    <w:rsid w:val="001F0CA2"/>
    <w:rsid w:val="001F0E3A"/>
    <w:rsid w:val="001F1018"/>
    <w:rsid w:val="001F11C4"/>
    <w:rsid w:val="001F12DD"/>
    <w:rsid w:val="001F140A"/>
    <w:rsid w:val="001F196B"/>
    <w:rsid w:val="001F1B1A"/>
    <w:rsid w:val="001F1E0D"/>
    <w:rsid w:val="001F2228"/>
    <w:rsid w:val="001F23AE"/>
    <w:rsid w:val="001F24B3"/>
    <w:rsid w:val="001F26DB"/>
    <w:rsid w:val="001F27CC"/>
    <w:rsid w:val="001F2899"/>
    <w:rsid w:val="001F293B"/>
    <w:rsid w:val="001F2A82"/>
    <w:rsid w:val="001F2AA2"/>
    <w:rsid w:val="001F2C28"/>
    <w:rsid w:val="001F3ECB"/>
    <w:rsid w:val="001F4261"/>
    <w:rsid w:val="001F468B"/>
    <w:rsid w:val="001F4B83"/>
    <w:rsid w:val="001F4F46"/>
    <w:rsid w:val="001F510C"/>
    <w:rsid w:val="001F5346"/>
    <w:rsid w:val="001F5825"/>
    <w:rsid w:val="001F6311"/>
    <w:rsid w:val="001F634D"/>
    <w:rsid w:val="001F648D"/>
    <w:rsid w:val="001F75D5"/>
    <w:rsid w:val="001F78CD"/>
    <w:rsid w:val="0020036F"/>
    <w:rsid w:val="002003F0"/>
    <w:rsid w:val="00200D3A"/>
    <w:rsid w:val="00200EB7"/>
    <w:rsid w:val="00201838"/>
    <w:rsid w:val="002018A9"/>
    <w:rsid w:val="00201A97"/>
    <w:rsid w:val="00201B5C"/>
    <w:rsid w:val="002020C2"/>
    <w:rsid w:val="0020237D"/>
    <w:rsid w:val="002026D9"/>
    <w:rsid w:val="00202A17"/>
    <w:rsid w:val="00202B21"/>
    <w:rsid w:val="002033E9"/>
    <w:rsid w:val="0020340A"/>
    <w:rsid w:val="00203458"/>
    <w:rsid w:val="002035A5"/>
    <w:rsid w:val="002035FD"/>
    <w:rsid w:val="00203739"/>
    <w:rsid w:val="002044E4"/>
    <w:rsid w:val="002046BB"/>
    <w:rsid w:val="002047DB"/>
    <w:rsid w:val="00204ADF"/>
    <w:rsid w:val="00204BEF"/>
    <w:rsid w:val="00204E20"/>
    <w:rsid w:val="00204F6F"/>
    <w:rsid w:val="00205209"/>
    <w:rsid w:val="0020546F"/>
    <w:rsid w:val="002056C4"/>
    <w:rsid w:val="00205822"/>
    <w:rsid w:val="00206162"/>
    <w:rsid w:val="002064A1"/>
    <w:rsid w:val="002067D1"/>
    <w:rsid w:val="002068F4"/>
    <w:rsid w:val="002069E2"/>
    <w:rsid w:val="00206D01"/>
    <w:rsid w:val="00206D25"/>
    <w:rsid w:val="0020723D"/>
    <w:rsid w:val="00207351"/>
    <w:rsid w:val="00207551"/>
    <w:rsid w:val="002076DB"/>
    <w:rsid w:val="00207787"/>
    <w:rsid w:val="002077B5"/>
    <w:rsid w:val="00207D20"/>
    <w:rsid w:val="00207DD4"/>
    <w:rsid w:val="00207E88"/>
    <w:rsid w:val="00207FCD"/>
    <w:rsid w:val="00210567"/>
    <w:rsid w:val="002111D0"/>
    <w:rsid w:val="00211242"/>
    <w:rsid w:val="00211EAC"/>
    <w:rsid w:val="00211F27"/>
    <w:rsid w:val="002120CF"/>
    <w:rsid w:val="00212868"/>
    <w:rsid w:val="00212F42"/>
    <w:rsid w:val="002132CF"/>
    <w:rsid w:val="00213840"/>
    <w:rsid w:val="00213B9C"/>
    <w:rsid w:val="00213FB3"/>
    <w:rsid w:val="00214049"/>
    <w:rsid w:val="00214263"/>
    <w:rsid w:val="002147A3"/>
    <w:rsid w:val="002148BF"/>
    <w:rsid w:val="002152D5"/>
    <w:rsid w:val="0021559D"/>
    <w:rsid w:val="00215932"/>
    <w:rsid w:val="00215BF2"/>
    <w:rsid w:val="00215CD4"/>
    <w:rsid w:val="00215D87"/>
    <w:rsid w:val="00216623"/>
    <w:rsid w:val="00216DF5"/>
    <w:rsid w:val="00216FFC"/>
    <w:rsid w:val="00217895"/>
    <w:rsid w:val="00220211"/>
    <w:rsid w:val="002206C2"/>
    <w:rsid w:val="002207E9"/>
    <w:rsid w:val="00220DBB"/>
    <w:rsid w:val="00220FB8"/>
    <w:rsid w:val="002210C4"/>
    <w:rsid w:val="002213A9"/>
    <w:rsid w:val="00221637"/>
    <w:rsid w:val="0022170B"/>
    <w:rsid w:val="002217C6"/>
    <w:rsid w:val="002218AC"/>
    <w:rsid w:val="0022196A"/>
    <w:rsid w:val="00221CB8"/>
    <w:rsid w:val="00221DE2"/>
    <w:rsid w:val="0022231B"/>
    <w:rsid w:val="002227CB"/>
    <w:rsid w:val="002232F4"/>
    <w:rsid w:val="0022411D"/>
    <w:rsid w:val="00224333"/>
    <w:rsid w:val="002243FA"/>
    <w:rsid w:val="00224619"/>
    <w:rsid w:val="00224788"/>
    <w:rsid w:val="002248F8"/>
    <w:rsid w:val="00224D8B"/>
    <w:rsid w:val="00225F33"/>
    <w:rsid w:val="00225F5F"/>
    <w:rsid w:val="0022602C"/>
    <w:rsid w:val="00226712"/>
    <w:rsid w:val="002268E1"/>
    <w:rsid w:val="002274F3"/>
    <w:rsid w:val="002276C8"/>
    <w:rsid w:val="00227BD0"/>
    <w:rsid w:val="002303E3"/>
    <w:rsid w:val="00230C15"/>
    <w:rsid w:val="00231AE8"/>
    <w:rsid w:val="00232042"/>
    <w:rsid w:val="00232AAD"/>
    <w:rsid w:val="00232BB1"/>
    <w:rsid w:val="00232BCB"/>
    <w:rsid w:val="002335A3"/>
    <w:rsid w:val="002336AD"/>
    <w:rsid w:val="002336F7"/>
    <w:rsid w:val="002337D3"/>
    <w:rsid w:val="0023387D"/>
    <w:rsid w:val="002338C9"/>
    <w:rsid w:val="0023394C"/>
    <w:rsid w:val="00233AF4"/>
    <w:rsid w:val="00233DFF"/>
    <w:rsid w:val="00234407"/>
    <w:rsid w:val="00234BE0"/>
    <w:rsid w:val="00234D01"/>
    <w:rsid w:val="00235228"/>
    <w:rsid w:val="00235543"/>
    <w:rsid w:val="002361B4"/>
    <w:rsid w:val="00236211"/>
    <w:rsid w:val="00236240"/>
    <w:rsid w:val="002363C3"/>
    <w:rsid w:val="002363E5"/>
    <w:rsid w:val="00236767"/>
    <w:rsid w:val="00236D0C"/>
    <w:rsid w:val="00236DA5"/>
    <w:rsid w:val="00236F21"/>
    <w:rsid w:val="0023732A"/>
    <w:rsid w:val="0023763B"/>
    <w:rsid w:val="002378C6"/>
    <w:rsid w:val="00237918"/>
    <w:rsid w:val="0024005E"/>
    <w:rsid w:val="002403A1"/>
    <w:rsid w:val="002403D7"/>
    <w:rsid w:val="0024061A"/>
    <w:rsid w:val="0024094B"/>
    <w:rsid w:val="00240B1B"/>
    <w:rsid w:val="002415CC"/>
    <w:rsid w:val="002416CF"/>
    <w:rsid w:val="00242769"/>
    <w:rsid w:val="002429AE"/>
    <w:rsid w:val="00242BD9"/>
    <w:rsid w:val="00242C07"/>
    <w:rsid w:val="00242C18"/>
    <w:rsid w:val="00243134"/>
    <w:rsid w:val="00243668"/>
    <w:rsid w:val="002438B5"/>
    <w:rsid w:val="00243BDD"/>
    <w:rsid w:val="00243DE3"/>
    <w:rsid w:val="00243F93"/>
    <w:rsid w:val="0024409A"/>
    <w:rsid w:val="002442FA"/>
    <w:rsid w:val="002443B5"/>
    <w:rsid w:val="00244732"/>
    <w:rsid w:val="00245053"/>
    <w:rsid w:val="002459EC"/>
    <w:rsid w:val="00245A29"/>
    <w:rsid w:val="00245D81"/>
    <w:rsid w:val="002460F8"/>
    <w:rsid w:val="002465A4"/>
    <w:rsid w:val="0024690B"/>
    <w:rsid w:val="00246B73"/>
    <w:rsid w:val="00247337"/>
    <w:rsid w:val="00247C95"/>
    <w:rsid w:val="00247F3D"/>
    <w:rsid w:val="00247FB4"/>
    <w:rsid w:val="00250D41"/>
    <w:rsid w:val="002518D1"/>
    <w:rsid w:val="002519C3"/>
    <w:rsid w:val="00251AF3"/>
    <w:rsid w:val="00251B68"/>
    <w:rsid w:val="002522A8"/>
    <w:rsid w:val="00252716"/>
    <w:rsid w:val="002530A1"/>
    <w:rsid w:val="00253955"/>
    <w:rsid w:val="002539F0"/>
    <w:rsid w:val="00253BE3"/>
    <w:rsid w:val="00253E1A"/>
    <w:rsid w:val="0025403A"/>
    <w:rsid w:val="0025405D"/>
    <w:rsid w:val="0025456F"/>
    <w:rsid w:val="002548F2"/>
    <w:rsid w:val="002548F7"/>
    <w:rsid w:val="00254AA4"/>
    <w:rsid w:val="00254AE1"/>
    <w:rsid w:val="00254C32"/>
    <w:rsid w:val="00254DDB"/>
    <w:rsid w:val="00254F52"/>
    <w:rsid w:val="0025516C"/>
    <w:rsid w:val="002555AE"/>
    <w:rsid w:val="002555FE"/>
    <w:rsid w:val="002556D6"/>
    <w:rsid w:val="00255731"/>
    <w:rsid w:val="002561E6"/>
    <w:rsid w:val="00256412"/>
    <w:rsid w:val="0025646B"/>
    <w:rsid w:val="00256E15"/>
    <w:rsid w:val="00256EB1"/>
    <w:rsid w:val="00257003"/>
    <w:rsid w:val="00257069"/>
    <w:rsid w:val="002574D4"/>
    <w:rsid w:val="00260097"/>
    <w:rsid w:val="0026026E"/>
    <w:rsid w:val="00260AA7"/>
    <w:rsid w:val="002614D0"/>
    <w:rsid w:val="00261E47"/>
    <w:rsid w:val="00261E6C"/>
    <w:rsid w:val="00262188"/>
    <w:rsid w:val="00262804"/>
    <w:rsid w:val="00262AC7"/>
    <w:rsid w:val="00262F17"/>
    <w:rsid w:val="00262F32"/>
    <w:rsid w:val="00263072"/>
    <w:rsid w:val="00263117"/>
    <w:rsid w:val="0026312F"/>
    <w:rsid w:val="00263A4C"/>
    <w:rsid w:val="00263C6E"/>
    <w:rsid w:val="00263F94"/>
    <w:rsid w:val="00264122"/>
    <w:rsid w:val="0026483E"/>
    <w:rsid w:val="002648E8"/>
    <w:rsid w:val="00264D2E"/>
    <w:rsid w:val="00265242"/>
    <w:rsid w:val="002658DF"/>
    <w:rsid w:val="00266402"/>
    <w:rsid w:val="00266712"/>
    <w:rsid w:val="00266807"/>
    <w:rsid w:val="00266B14"/>
    <w:rsid w:val="00270059"/>
    <w:rsid w:val="002703EA"/>
    <w:rsid w:val="00271278"/>
    <w:rsid w:val="002715B5"/>
    <w:rsid w:val="00271FF4"/>
    <w:rsid w:val="00272199"/>
    <w:rsid w:val="002730DB"/>
    <w:rsid w:val="002732AB"/>
    <w:rsid w:val="00273461"/>
    <w:rsid w:val="00273527"/>
    <w:rsid w:val="002735E4"/>
    <w:rsid w:val="00273B24"/>
    <w:rsid w:val="00273F85"/>
    <w:rsid w:val="0027422A"/>
    <w:rsid w:val="00274260"/>
    <w:rsid w:val="00274522"/>
    <w:rsid w:val="00274A86"/>
    <w:rsid w:val="00274BAC"/>
    <w:rsid w:val="00274FDE"/>
    <w:rsid w:val="002757D9"/>
    <w:rsid w:val="00275F1D"/>
    <w:rsid w:val="002762B0"/>
    <w:rsid w:val="00276680"/>
    <w:rsid w:val="00276A89"/>
    <w:rsid w:val="00276FDE"/>
    <w:rsid w:val="002771D9"/>
    <w:rsid w:val="002771F3"/>
    <w:rsid w:val="0027727E"/>
    <w:rsid w:val="002775E1"/>
    <w:rsid w:val="00277AD4"/>
    <w:rsid w:val="00277CB9"/>
    <w:rsid w:val="00280068"/>
    <w:rsid w:val="0028010B"/>
    <w:rsid w:val="002802DB"/>
    <w:rsid w:val="002808B2"/>
    <w:rsid w:val="00280D43"/>
    <w:rsid w:val="00280E44"/>
    <w:rsid w:val="0028188B"/>
    <w:rsid w:val="0028194C"/>
    <w:rsid w:val="00281B17"/>
    <w:rsid w:val="00281CDC"/>
    <w:rsid w:val="00281E27"/>
    <w:rsid w:val="00282563"/>
    <w:rsid w:val="002828C0"/>
    <w:rsid w:val="00282E1F"/>
    <w:rsid w:val="00283020"/>
    <w:rsid w:val="00283121"/>
    <w:rsid w:val="002837C8"/>
    <w:rsid w:val="002837D5"/>
    <w:rsid w:val="00283E9C"/>
    <w:rsid w:val="00283F61"/>
    <w:rsid w:val="00284258"/>
    <w:rsid w:val="00284D89"/>
    <w:rsid w:val="002852D8"/>
    <w:rsid w:val="00285980"/>
    <w:rsid w:val="0028617C"/>
    <w:rsid w:val="002868E3"/>
    <w:rsid w:val="00286AE2"/>
    <w:rsid w:val="00286E24"/>
    <w:rsid w:val="00286EF8"/>
    <w:rsid w:val="002873B9"/>
    <w:rsid w:val="00287BB8"/>
    <w:rsid w:val="00290222"/>
    <w:rsid w:val="00290F9C"/>
    <w:rsid w:val="00291304"/>
    <w:rsid w:val="00291505"/>
    <w:rsid w:val="00291AE7"/>
    <w:rsid w:val="00291BEF"/>
    <w:rsid w:val="00292408"/>
    <w:rsid w:val="002924D2"/>
    <w:rsid w:val="00292C0C"/>
    <w:rsid w:val="00292DA7"/>
    <w:rsid w:val="00293191"/>
    <w:rsid w:val="00293308"/>
    <w:rsid w:val="0029381C"/>
    <w:rsid w:val="00293E32"/>
    <w:rsid w:val="00293F7D"/>
    <w:rsid w:val="0029473A"/>
    <w:rsid w:val="00294A38"/>
    <w:rsid w:val="00294A99"/>
    <w:rsid w:val="00294B3D"/>
    <w:rsid w:val="0029512E"/>
    <w:rsid w:val="002952CE"/>
    <w:rsid w:val="002956FC"/>
    <w:rsid w:val="0029599E"/>
    <w:rsid w:val="00295A13"/>
    <w:rsid w:val="00295BD2"/>
    <w:rsid w:val="00295EBD"/>
    <w:rsid w:val="00295F4A"/>
    <w:rsid w:val="002962C8"/>
    <w:rsid w:val="002964E7"/>
    <w:rsid w:val="002964EE"/>
    <w:rsid w:val="002964F7"/>
    <w:rsid w:val="00296589"/>
    <w:rsid w:val="002965C5"/>
    <w:rsid w:val="002965E7"/>
    <w:rsid w:val="0029663A"/>
    <w:rsid w:val="00296641"/>
    <w:rsid w:val="002967A4"/>
    <w:rsid w:val="00296EBA"/>
    <w:rsid w:val="0029761B"/>
    <w:rsid w:val="00297A6C"/>
    <w:rsid w:val="002A006E"/>
    <w:rsid w:val="002A025D"/>
    <w:rsid w:val="002A02D7"/>
    <w:rsid w:val="002A048E"/>
    <w:rsid w:val="002A07FA"/>
    <w:rsid w:val="002A1C17"/>
    <w:rsid w:val="002A1D45"/>
    <w:rsid w:val="002A1D8C"/>
    <w:rsid w:val="002A259E"/>
    <w:rsid w:val="002A281B"/>
    <w:rsid w:val="002A28E9"/>
    <w:rsid w:val="002A330F"/>
    <w:rsid w:val="002A3332"/>
    <w:rsid w:val="002A370B"/>
    <w:rsid w:val="002A3C7C"/>
    <w:rsid w:val="002A4195"/>
    <w:rsid w:val="002A43D0"/>
    <w:rsid w:val="002A444B"/>
    <w:rsid w:val="002A4454"/>
    <w:rsid w:val="002A4756"/>
    <w:rsid w:val="002A47B5"/>
    <w:rsid w:val="002A4F60"/>
    <w:rsid w:val="002A5380"/>
    <w:rsid w:val="002A55B4"/>
    <w:rsid w:val="002A575F"/>
    <w:rsid w:val="002A57EB"/>
    <w:rsid w:val="002A5DCC"/>
    <w:rsid w:val="002A5EF6"/>
    <w:rsid w:val="002A6149"/>
    <w:rsid w:val="002A6846"/>
    <w:rsid w:val="002A68D8"/>
    <w:rsid w:val="002A7295"/>
    <w:rsid w:val="002A737C"/>
    <w:rsid w:val="002A78F8"/>
    <w:rsid w:val="002B0CA0"/>
    <w:rsid w:val="002B0D07"/>
    <w:rsid w:val="002B0FA2"/>
    <w:rsid w:val="002B1168"/>
    <w:rsid w:val="002B14F5"/>
    <w:rsid w:val="002B1542"/>
    <w:rsid w:val="002B1599"/>
    <w:rsid w:val="002B173C"/>
    <w:rsid w:val="002B17FC"/>
    <w:rsid w:val="002B1A14"/>
    <w:rsid w:val="002B1B59"/>
    <w:rsid w:val="002B1F9B"/>
    <w:rsid w:val="002B1FA4"/>
    <w:rsid w:val="002B2470"/>
    <w:rsid w:val="002B25E5"/>
    <w:rsid w:val="002B27BC"/>
    <w:rsid w:val="002B2967"/>
    <w:rsid w:val="002B2BC4"/>
    <w:rsid w:val="002B2C63"/>
    <w:rsid w:val="002B2D50"/>
    <w:rsid w:val="002B2EBE"/>
    <w:rsid w:val="002B2F71"/>
    <w:rsid w:val="002B3093"/>
    <w:rsid w:val="002B33E1"/>
    <w:rsid w:val="002B406E"/>
    <w:rsid w:val="002B432F"/>
    <w:rsid w:val="002B45D3"/>
    <w:rsid w:val="002B48A5"/>
    <w:rsid w:val="002B4B2C"/>
    <w:rsid w:val="002B4CC6"/>
    <w:rsid w:val="002B4E69"/>
    <w:rsid w:val="002B4F71"/>
    <w:rsid w:val="002B537A"/>
    <w:rsid w:val="002B54E2"/>
    <w:rsid w:val="002B5C49"/>
    <w:rsid w:val="002B5CEC"/>
    <w:rsid w:val="002B6139"/>
    <w:rsid w:val="002B62E4"/>
    <w:rsid w:val="002B6D43"/>
    <w:rsid w:val="002B6EA7"/>
    <w:rsid w:val="002B6F4C"/>
    <w:rsid w:val="002B7078"/>
    <w:rsid w:val="002B74CC"/>
    <w:rsid w:val="002B7721"/>
    <w:rsid w:val="002B77E0"/>
    <w:rsid w:val="002B7B25"/>
    <w:rsid w:val="002B7C83"/>
    <w:rsid w:val="002B7CDB"/>
    <w:rsid w:val="002B7EEA"/>
    <w:rsid w:val="002B7F02"/>
    <w:rsid w:val="002B7FDB"/>
    <w:rsid w:val="002C0DA5"/>
    <w:rsid w:val="002C1BFF"/>
    <w:rsid w:val="002C1ED0"/>
    <w:rsid w:val="002C284B"/>
    <w:rsid w:val="002C2945"/>
    <w:rsid w:val="002C2E2F"/>
    <w:rsid w:val="002C2EA0"/>
    <w:rsid w:val="002C3111"/>
    <w:rsid w:val="002C3678"/>
    <w:rsid w:val="002C3CD8"/>
    <w:rsid w:val="002C3EA4"/>
    <w:rsid w:val="002C3F98"/>
    <w:rsid w:val="002C478C"/>
    <w:rsid w:val="002C47BC"/>
    <w:rsid w:val="002C4A5F"/>
    <w:rsid w:val="002C4EF8"/>
    <w:rsid w:val="002C549D"/>
    <w:rsid w:val="002C54E6"/>
    <w:rsid w:val="002C557E"/>
    <w:rsid w:val="002C5F46"/>
    <w:rsid w:val="002C6066"/>
    <w:rsid w:val="002C61D6"/>
    <w:rsid w:val="002C61EF"/>
    <w:rsid w:val="002C6522"/>
    <w:rsid w:val="002C6A8C"/>
    <w:rsid w:val="002C6B71"/>
    <w:rsid w:val="002C6EB3"/>
    <w:rsid w:val="002C7124"/>
    <w:rsid w:val="002C7555"/>
    <w:rsid w:val="002C7894"/>
    <w:rsid w:val="002C7939"/>
    <w:rsid w:val="002C793F"/>
    <w:rsid w:val="002C7FF4"/>
    <w:rsid w:val="002D00DA"/>
    <w:rsid w:val="002D05BC"/>
    <w:rsid w:val="002D063D"/>
    <w:rsid w:val="002D0E9C"/>
    <w:rsid w:val="002D158D"/>
    <w:rsid w:val="002D1BCC"/>
    <w:rsid w:val="002D1E51"/>
    <w:rsid w:val="002D1FA2"/>
    <w:rsid w:val="002D228F"/>
    <w:rsid w:val="002D27B0"/>
    <w:rsid w:val="002D28E6"/>
    <w:rsid w:val="002D2A81"/>
    <w:rsid w:val="002D2E54"/>
    <w:rsid w:val="002D30E9"/>
    <w:rsid w:val="002D3134"/>
    <w:rsid w:val="002D3728"/>
    <w:rsid w:val="002D379B"/>
    <w:rsid w:val="002D402C"/>
    <w:rsid w:val="002D41A1"/>
    <w:rsid w:val="002D4383"/>
    <w:rsid w:val="002D4423"/>
    <w:rsid w:val="002D4571"/>
    <w:rsid w:val="002D46E1"/>
    <w:rsid w:val="002D4703"/>
    <w:rsid w:val="002D4C1B"/>
    <w:rsid w:val="002D4F99"/>
    <w:rsid w:val="002D5838"/>
    <w:rsid w:val="002D585A"/>
    <w:rsid w:val="002D609D"/>
    <w:rsid w:val="002D61F4"/>
    <w:rsid w:val="002D6CE4"/>
    <w:rsid w:val="002D7409"/>
    <w:rsid w:val="002D75DB"/>
    <w:rsid w:val="002D75F7"/>
    <w:rsid w:val="002D7E64"/>
    <w:rsid w:val="002E096D"/>
    <w:rsid w:val="002E0C48"/>
    <w:rsid w:val="002E125D"/>
    <w:rsid w:val="002E14CB"/>
    <w:rsid w:val="002E160D"/>
    <w:rsid w:val="002E19C2"/>
    <w:rsid w:val="002E1FF4"/>
    <w:rsid w:val="002E2994"/>
    <w:rsid w:val="002E2A6F"/>
    <w:rsid w:val="002E2C19"/>
    <w:rsid w:val="002E2C32"/>
    <w:rsid w:val="002E3022"/>
    <w:rsid w:val="002E378E"/>
    <w:rsid w:val="002E3F07"/>
    <w:rsid w:val="002E4282"/>
    <w:rsid w:val="002E431C"/>
    <w:rsid w:val="002E44A8"/>
    <w:rsid w:val="002E44BF"/>
    <w:rsid w:val="002E46C6"/>
    <w:rsid w:val="002E4DF8"/>
    <w:rsid w:val="002E4F7F"/>
    <w:rsid w:val="002E52C6"/>
    <w:rsid w:val="002E55C1"/>
    <w:rsid w:val="002E561B"/>
    <w:rsid w:val="002E5624"/>
    <w:rsid w:val="002E56E0"/>
    <w:rsid w:val="002E5781"/>
    <w:rsid w:val="002E596D"/>
    <w:rsid w:val="002E6000"/>
    <w:rsid w:val="002E6025"/>
    <w:rsid w:val="002E647F"/>
    <w:rsid w:val="002E6511"/>
    <w:rsid w:val="002E674D"/>
    <w:rsid w:val="002E67EE"/>
    <w:rsid w:val="002E71E6"/>
    <w:rsid w:val="002E7985"/>
    <w:rsid w:val="002E7EA8"/>
    <w:rsid w:val="002F0297"/>
    <w:rsid w:val="002F050B"/>
    <w:rsid w:val="002F07FE"/>
    <w:rsid w:val="002F0824"/>
    <w:rsid w:val="002F0E9C"/>
    <w:rsid w:val="002F0F80"/>
    <w:rsid w:val="002F125F"/>
    <w:rsid w:val="002F1573"/>
    <w:rsid w:val="002F17CD"/>
    <w:rsid w:val="002F17DA"/>
    <w:rsid w:val="002F1830"/>
    <w:rsid w:val="002F1AFB"/>
    <w:rsid w:val="002F1E1E"/>
    <w:rsid w:val="002F2008"/>
    <w:rsid w:val="002F219C"/>
    <w:rsid w:val="002F220D"/>
    <w:rsid w:val="002F2428"/>
    <w:rsid w:val="002F2508"/>
    <w:rsid w:val="002F2D37"/>
    <w:rsid w:val="002F2E07"/>
    <w:rsid w:val="002F2ECF"/>
    <w:rsid w:val="002F327C"/>
    <w:rsid w:val="002F396C"/>
    <w:rsid w:val="002F3A14"/>
    <w:rsid w:val="002F3B10"/>
    <w:rsid w:val="002F3DD8"/>
    <w:rsid w:val="002F42AA"/>
    <w:rsid w:val="002F47B3"/>
    <w:rsid w:val="002F4A5B"/>
    <w:rsid w:val="002F4F3A"/>
    <w:rsid w:val="002F527F"/>
    <w:rsid w:val="002F543B"/>
    <w:rsid w:val="002F5750"/>
    <w:rsid w:val="002F57E9"/>
    <w:rsid w:val="002F5FA1"/>
    <w:rsid w:val="002F64E9"/>
    <w:rsid w:val="002F6536"/>
    <w:rsid w:val="002F6CE1"/>
    <w:rsid w:val="002F70E1"/>
    <w:rsid w:val="002F727A"/>
    <w:rsid w:val="002F740D"/>
    <w:rsid w:val="002F7674"/>
    <w:rsid w:val="002F7897"/>
    <w:rsid w:val="002F7C01"/>
    <w:rsid w:val="003002D0"/>
    <w:rsid w:val="003005D3"/>
    <w:rsid w:val="00300762"/>
    <w:rsid w:val="00300C79"/>
    <w:rsid w:val="00300D9E"/>
    <w:rsid w:val="0030109C"/>
    <w:rsid w:val="003019B4"/>
    <w:rsid w:val="00301E1C"/>
    <w:rsid w:val="003030F9"/>
    <w:rsid w:val="0030387B"/>
    <w:rsid w:val="003038B3"/>
    <w:rsid w:val="00303E9B"/>
    <w:rsid w:val="003043F6"/>
    <w:rsid w:val="0030445E"/>
    <w:rsid w:val="00304819"/>
    <w:rsid w:val="0030481C"/>
    <w:rsid w:val="00304986"/>
    <w:rsid w:val="0030530F"/>
    <w:rsid w:val="00305A91"/>
    <w:rsid w:val="00305AC1"/>
    <w:rsid w:val="00305AD5"/>
    <w:rsid w:val="00305D2D"/>
    <w:rsid w:val="00305F51"/>
    <w:rsid w:val="0030619C"/>
    <w:rsid w:val="003062EC"/>
    <w:rsid w:val="00306457"/>
    <w:rsid w:val="0030657F"/>
    <w:rsid w:val="00306755"/>
    <w:rsid w:val="003067C6"/>
    <w:rsid w:val="00306DB7"/>
    <w:rsid w:val="00307007"/>
    <w:rsid w:val="00307695"/>
    <w:rsid w:val="003078F8"/>
    <w:rsid w:val="00307A4D"/>
    <w:rsid w:val="00307D7C"/>
    <w:rsid w:val="00307E87"/>
    <w:rsid w:val="00307FEC"/>
    <w:rsid w:val="003103C5"/>
    <w:rsid w:val="0031042B"/>
    <w:rsid w:val="0031063F"/>
    <w:rsid w:val="00310C8B"/>
    <w:rsid w:val="0031150E"/>
    <w:rsid w:val="00311633"/>
    <w:rsid w:val="003117C1"/>
    <w:rsid w:val="0031196D"/>
    <w:rsid w:val="00311A22"/>
    <w:rsid w:val="0031200E"/>
    <w:rsid w:val="00312142"/>
    <w:rsid w:val="003121FF"/>
    <w:rsid w:val="0031286D"/>
    <w:rsid w:val="00312FF0"/>
    <w:rsid w:val="00313464"/>
    <w:rsid w:val="00313BD1"/>
    <w:rsid w:val="003148AD"/>
    <w:rsid w:val="00314FBB"/>
    <w:rsid w:val="00315A48"/>
    <w:rsid w:val="00315B34"/>
    <w:rsid w:val="00315D31"/>
    <w:rsid w:val="00315E90"/>
    <w:rsid w:val="00315F53"/>
    <w:rsid w:val="00315F90"/>
    <w:rsid w:val="00316066"/>
    <w:rsid w:val="0031615C"/>
    <w:rsid w:val="00316BD9"/>
    <w:rsid w:val="00316BF4"/>
    <w:rsid w:val="0031707F"/>
    <w:rsid w:val="00317444"/>
    <w:rsid w:val="00317823"/>
    <w:rsid w:val="003178CF"/>
    <w:rsid w:val="00317EBD"/>
    <w:rsid w:val="00320450"/>
    <w:rsid w:val="003204FF"/>
    <w:rsid w:val="003207F1"/>
    <w:rsid w:val="0032086C"/>
    <w:rsid w:val="00320FF7"/>
    <w:rsid w:val="00321118"/>
    <w:rsid w:val="0032131A"/>
    <w:rsid w:val="0032160D"/>
    <w:rsid w:val="003217C5"/>
    <w:rsid w:val="003218B9"/>
    <w:rsid w:val="00321D2B"/>
    <w:rsid w:val="00321F09"/>
    <w:rsid w:val="00322202"/>
    <w:rsid w:val="0032271F"/>
    <w:rsid w:val="00322EC3"/>
    <w:rsid w:val="0032301F"/>
    <w:rsid w:val="0032308D"/>
    <w:rsid w:val="003234EA"/>
    <w:rsid w:val="00323DD4"/>
    <w:rsid w:val="0032446F"/>
    <w:rsid w:val="00324883"/>
    <w:rsid w:val="00324C7A"/>
    <w:rsid w:val="00324E79"/>
    <w:rsid w:val="003254E3"/>
    <w:rsid w:val="0032567C"/>
    <w:rsid w:val="0032641E"/>
    <w:rsid w:val="0032642D"/>
    <w:rsid w:val="003264D8"/>
    <w:rsid w:val="003268DC"/>
    <w:rsid w:val="00326902"/>
    <w:rsid w:val="00326A85"/>
    <w:rsid w:val="00327535"/>
    <w:rsid w:val="00327DA7"/>
    <w:rsid w:val="003300DA"/>
    <w:rsid w:val="00330462"/>
    <w:rsid w:val="003307F7"/>
    <w:rsid w:val="00330D63"/>
    <w:rsid w:val="00330F29"/>
    <w:rsid w:val="003317B7"/>
    <w:rsid w:val="00331E0E"/>
    <w:rsid w:val="003321D8"/>
    <w:rsid w:val="00332478"/>
    <w:rsid w:val="003324C6"/>
    <w:rsid w:val="00332570"/>
    <w:rsid w:val="00332DD0"/>
    <w:rsid w:val="0033325C"/>
    <w:rsid w:val="003336B0"/>
    <w:rsid w:val="0033379F"/>
    <w:rsid w:val="00333874"/>
    <w:rsid w:val="00333AE4"/>
    <w:rsid w:val="00333D9F"/>
    <w:rsid w:val="0033419A"/>
    <w:rsid w:val="003341D3"/>
    <w:rsid w:val="00334B7B"/>
    <w:rsid w:val="00334D8C"/>
    <w:rsid w:val="00334E6F"/>
    <w:rsid w:val="00334F0A"/>
    <w:rsid w:val="00335887"/>
    <w:rsid w:val="00335992"/>
    <w:rsid w:val="00335BDC"/>
    <w:rsid w:val="00335D24"/>
    <w:rsid w:val="0033618A"/>
    <w:rsid w:val="003364C2"/>
    <w:rsid w:val="00336575"/>
    <w:rsid w:val="0033683A"/>
    <w:rsid w:val="003369D4"/>
    <w:rsid w:val="00337969"/>
    <w:rsid w:val="00337F9E"/>
    <w:rsid w:val="003400F6"/>
    <w:rsid w:val="0034052E"/>
    <w:rsid w:val="003407C7"/>
    <w:rsid w:val="0034094D"/>
    <w:rsid w:val="00340A96"/>
    <w:rsid w:val="00340E99"/>
    <w:rsid w:val="0034118A"/>
    <w:rsid w:val="00341575"/>
    <w:rsid w:val="00341740"/>
    <w:rsid w:val="0034180D"/>
    <w:rsid w:val="003423BB"/>
    <w:rsid w:val="00342B33"/>
    <w:rsid w:val="00342C88"/>
    <w:rsid w:val="00342EAE"/>
    <w:rsid w:val="003433E8"/>
    <w:rsid w:val="0034408E"/>
    <w:rsid w:val="0034461A"/>
    <w:rsid w:val="00344A03"/>
    <w:rsid w:val="00344AAD"/>
    <w:rsid w:val="00344ABC"/>
    <w:rsid w:val="00345011"/>
    <w:rsid w:val="0034508B"/>
    <w:rsid w:val="00345099"/>
    <w:rsid w:val="00345670"/>
    <w:rsid w:val="00345AE2"/>
    <w:rsid w:val="00345F88"/>
    <w:rsid w:val="00346083"/>
    <w:rsid w:val="00346C2F"/>
    <w:rsid w:val="00346C62"/>
    <w:rsid w:val="00346D7F"/>
    <w:rsid w:val="00346EC1"/>
    <w:rsid w:val="00346FED"/>
    <w:rsid w:val="0034736F"/>
    <w:rsid w:val="00347E95"/>
    <w:rsid w:val="0035019C"/>
    <w:rsid w:val="0035041E"/>
    <w:rsid w:val="0035092E"/>
    <w:rsid w:val="00350935"/>
    <w:rsid w:val="0035095D"/>
    <w:rsid w:val="00350FAF"/>
    <w:rsid w:val="003512E5"/>
    <w:rsid w:val="00352068"/>
    <w:rsid w:val="003525E5"/>
    <w:rsid w:val="003527DF"/>
    <w:rsid w:val="00352919"/>
    <w:rsid w:val="00353159"/>
    <w:rsid w:val="003531E6"/>
    <w:rsid w:val="00353591"/>
    <w:rsid w:val="00353E66"/>
    <w:rsid w:val="003543F8"/>
    <w:rsid w:val="003548C8"/>
    <w:rsid w:val="00355AB4"/>
    <w:rsid w:val="00355B39"/>
    <w:rsid w:val="003564EC"/>
    <w:rsid w:val="003566F2"/>
    <w:rsid w:val="00356C30"/>
    <w:rsid w:val="00356CCD"/>
    <w:rsid w:val="00356FE7"/>
    <w:rsid w:val="0035760E"/>
    <w:rsid w:val="003576EF"/>
    <w:rsid w:val="00357727"/>
    <w:rsid w:val="00357BEC"/>
    <w:rsid w:val="00357FEB"/>
    <w:rsid w:val="00360070"/>
    <w:rsid w:val="00360CFE"/>
    <w:rsid w:val="003618D5"/>
    <w:rsid w:val="00362890"/>
    <w:rsid w:val="00362BFA"/>
    <w:rsid w:val="00362E7C"/>
    <w:rsid w:val="00363C0A"/>
    <w:rsid w:val="00363D24"/>
    <w:rsid w:val="00363D51"/>
    <w:rsid w:val="003642DC"/>
    <w:rsid w:val="0036441D"/>
    <w:rsid w:val="003645DF"/>
    <w:rsid w:val="00364B40"/>
    <w:rsid w:val="00364FB6"/>
    <w:rsid w:val="00365794"/>
    <w:rsid w:val="00365910"/>
    <w:rsid w:val="00365A5A"/>
    <w:rsid w:val="00365E7B"/>
    <w:rsid w:val="00366125"/>
    <w:rsid w:val="00366BF8"/>
    <w:rsid w:val="00366D62"/>
    <w:rsid w:val="00366DC8"/>
    <w:rsid w:val="00367549"/>
    <w:rsid w:val="00367553"/>
    <w:rsid w:val="0036764E"/>
    <w:rsid w:val="00367720"/>
    <w:rsid w:val="00367896"/>
    <w:rsid w:val="00367A2F"/>
    <w:rsid w:val="00367D29"/>
    <w:rsid w:val="00367F56"/>
    <w:rsid w:val="003700C4"/>
    <w:rsid w:val="00370478"/>
    <w:rsid w:val="003707CE"/>
    <w:rsid w:val="00371270"/>
    <w:rsid w:val="00371A4F"/>
    <w:rsid w:val="00371C20"/>
    <w:rsid w:val="00371E09"/>
    <w:rsid w:val="00371E26"/>
    <w:rsid w:val="003721A0"/>
    <w:rsid w:val="003727CB"/>
    <w:rsid w:val="00372891"/>
    <w:rsid w:val="00372A82"/>
    <w:rsid w:val="00372C96"/>
    <w:rsid w:val="00372D6C"/>
    <w:rsid w:val="00372F8C"/>
    <w:rsid w:val="00372FBE"/>
    <w:rsid w:val="0037329A"/>
    <w:rsid w:val="00373A3C"/>
    <w:rsid w:val="00373DA8"/>
    <w:rsid w:val="00373F42"/>
    <w:rsid w:val="0037419A"/>
    <w:rsid w:val="00374EBC"/>
    <w:rsid w:val="00375032"/>
    <w:rsid w:val="00375A3C"/>
    <w:rsid w:val="00375ADD"/>
    <w:rsid w:val="00375D02"/>
    <w:rsid w:val="00375E97"/>
    <w:rsid w:val="0037646F"/>
    <w:rsid w:val="003765FE"/>
    <w:rsid w:val="00376A8B"/>
    <w:rsid w:val="00376C43"/>
    <w:rsid w:val="00376C76"/>
    <w:rsid w:val="00376CB7"/>
    <w:rsid w:val="00376F86"/>
    <w:rsid w:val="00377718"/>
    <w:rsid w:val="003778FD"/>
    <w:rsid w:val="00377A48"/>
    <w:rsid w:val="00377D11"/>
    <w:rsid w:val="00377F8A"/>
    <w:rsid w:val="003800BA"/>
    <w:rsid w:val="00380346"/>
    <w:rsid w:val="00380376"/>
    <w:rsid w:val="003807BA"/>
    <w:rsid w:val="00380856"/>
    <w:rsid w:val="00380C1C"/>
    <w:rsid w:val="00380EE5"/>
    <w:rsid w:val="00381625"/>
    <w:rsid w:val="0038171D"/>
    <w:rsid w:val="003817BC"/>
    <w:rsid w:val="00381A36"/>
    <w:rsid w:val="00381A8F"/>
    <w:rsid w:val="00381D69"/>
    <w:rsid w:val="00381E1E"/>
    <w:rsid w:val="00382198"/>
    <w:rsid w:val="00382AB2"/>
    <w:rsid w:val="00382BED"/>
    <w:rsid w:val="00382C69"/>
    <w:rsid w:val="003834DB"/>
    <w:rsid w:val="0038364A"/>
    <w:rsid w:val="003837C8"/>
    <w:rsid w:val="00383AF1"/>
    <w:rsid w:val="00384141"/>
    <w:rsid w:val="0038419A"/>
    <w:rsid w:val="00384420"/>
    <w:rsid w:val="00384748"/>
    <w:rsid w:val="00384B09"/>
    <w:rsid w:val="00384BCA"/>
    <w:rsid w:val="00384F6D"/>
    <w:rsid w:val="00385089"/>
    <w:rsid w:val="0038518D"/>
    <w:rsid w:val="003854B5"/>
    <w:rsid w:val="0038564A"/>
    <w:rsid w:val="003859A3"/>
    <w:rsid w:val="00385B73"/>
    <w:rsid w:val="00386230"/>
    <w:rsid w:val="003862D6"/>
    <w:rsid w:val="003862F5"/>
    <w:rsid w:val="003871BC"/>
    <w:rsid w:val="003873CF"/>
    <w:rsid w:val="00387826"/>
    <w:rsid w:val="00387B37"/>
    <w:rsid w:val="00387FDB"/>
    <w:rsid w:val="0039009D"/>
    <w:rsid w:val="003900C5"/>
    <w:rsid w:val="003900FB"/>
    <w:rsid w:val="00390204"/>
    <w:rsid w:val="00390384"/>
    <w:rsid w:val="0039058E"/>
    <w:rsid w:val="003906D0"/>
    <w:rsid w:val="00390E79"/>
    <w:rsid w:val="0039138D"/>
    <w:rsid w:val="003917DF"/>
    <w:rsid w:val="00391807"/>
    <w:rsid w:val="00391DFC"/>
    <w:rsid w:val="00392487"/>
    <w:rsid w:val="0039257C"/>
    <w:rsid w:val="00392756"/>
    <w:rsid w:val="00392B49"/>
    <w:rsid w:val="00392BC3"/>
    <w:rsid w:val="00392F08"/>
    <w:rsid w:val="00393285"/>
    <w:rsid w:val="00393576"/>
    <w:rsid w:val="003937CF"/>
    <w:rsid w:val="00393B49"/>
    <w:rsid w:val="00393D07"/>
    <w:rsid w:val="00393D22"/>
    <w:rsid w:val="00393DD5"/>
    <w:rsid w:val="00393F04"/>
    <w:rsid w:val="00394B79"/>
    <w:rsid w:val="00395409"/>
    <w:rsid w:val="0039544C"/>
    <w:rsid w:val="003956EA"/>
    <w:rsid w:val="00395F4F"/>
    <w:rsid w:val="00396254"/>
    <w:rsid w:val="0039637C"/>
    <w:rsid w:val="00396478"/>
    <w:rsid w:val="003965D8"/>
    <w:rsid w:val="00396B04"/>
    <w:rsid w:val="00396B5C"/>
    <w:rsid w:val="00397349"/>
    <w:rsid w:val="00397A30"/>
    <w:rsid w:val="00397B01"/>
    <w:rsid w:val="00397B43"/>
    <w:rsid w:val="00397C76"/>
    <w:rsid w:val="00397E7D"/>
    <w:rsid w:val="003A02A7"/>
    <w:rsid w:val="003A0420"/>
    <w:rsid w:val="003A04F7"/>
    <w:rsid w:val="003A06F7"/>
    <w:rsid w:val="003A0855"/>
    <w:rsid w:val="003A0A04"/>
    <w:rsid w:val="003A0F6B"/>
    <w:rsid w:val="003A1252"/>
    <w:rsid w:val="003A1543"/>
    <w:rsid w:val="003A15D9"/>
    <w:rsid w:val="003A18CF"/>
    <w:rsid w:val="003A1CE4"/>
    <w:rsid w:val="003A27C0"/>
    <w:rsid w:val="003A34F7"/>
    <w:rsid w:val="003A3541"/>
    <w:rsid w:val="003A374E"/>
    <w:rsid w:val="003A381F"/>
    <w:rsid w:val="003A394E"/>
    <w:rsid w:val="003A3CB3"/>
    <w:rsid w:val="003A3E0D"/>
    <w:rsid w:val="003A3E31"/>
    <w:rsid w:val="003A4101"/>
    <w:rsid w:val="003A4386"/>
    <w:rsid w:val="003A48D2"/>
    <w:rsid w:val="003A495B"/>
    <w:rsid w:val="003A508C"/>
    <w:rsid w:val="003A5D2C"/>
    <w:rsid w:val="003A6829"/>
    <w:rsid w:val="003A6A7F"/>
    <w:rsid w:val="003A6BE8"/>
    <w:rsid w:val="003A6F4B"/>
    <w:rsid w:val="003A706A"/>
    <w:rsid w:val="003A70A9"/>
    <w:rsid w:val="003A72EA"/>
    <w:rsid w:val="003A742C"/>
    <w:rsid w:val="003A798B"/>
    <w:rsid w:val="003A79E6"/>
    <w:rsid w:val="003A7C90"/>
    <w:rsid w:val="003B0BBB"/>
    <w:rsid w:val="003B0C7B"/>
    <w:rsid w:val="003B10C2"/>
    <w:rsid w:val="003B10D6"/>
    <w:rsid w:val="003B12CA"/>
    <w:rsid w:val="003B1655"/>
    <w:rsid w:val="003B17A8"/>
    <w:rsid w:val="003B1955"/>
    <w:rsid w:val="003B268A"/>
    <w:rsid w:val="003B2E69"/>
    <w:rsid w:val="003B2ED2"/>
    <w:rsid w:val="003B2F3D"/>
    <w:rsid w:val="003B3117"/>
    <w:rsid w:val="003B39E5"/>
    <w:rsid w:val="003B3ACE"/>
    <w:rsid w:val="003B4322"/>
    <w:rsid w:val="003B451E"/>
    <w:rsid w:val="003B48B3"/>
    <w:rsid w:val="003B4C12"/>
    <w:rsid w:val="003B4D58"/>
    <w:rsid w:val="003B53E7"/>
    <w:rsid w:val="003B5720"/>
    <w:rsid w:val="003B5A30"/>
    <w:rsid w:val="003B5C48"/>
    <w:rsid w:val="003B5CA0"/>
    <w:rsid w:val="003B5FB2"/>
    <w:rsid w:val="003B608A"/>
    <w:rsid w:val="003B65BC"/>
    <w:rsid w:val="003B6AA0"/>
    <w:rsid w:val="003B6F4A"/>
    <w:rsid w:val="003B706D"/>
    <w:rsid w:val="003B72C3"/>
    <w:rsid w:val="003B781B"/>
    <w:rsid w:val="003B7E4B"/>
    <w:rsid w:val="003C0221"/>
    <w:rsid w:val="003C06BB"/>
    <w:rsid w:val="003C07BB"/>
    <w:rsid w:val="003C096E"/>
    <w:rsid w:val="003C0BE0"/>
    <w:rsid w:val="003C1091"/>
    <w:rsid w:val="003C14A1"/>
    <w:rsid w:val="003C1979"/>
    <w:rsid w:val="003C20B8"/>
    <w:rsid w:val="003C2490"/>
    <w:rsid w:val="003C2592"/>
    <w:rsid w:val="003C25E1"/>
    <w:rsid w:val="003C2816"/>
    <w:rsid w:val="003C28ED"/>
    <w:rsid w:val="003C2993"/>
    <w:rsid w:val="003C2CB0"/>
    <w:rsid w:val="003C2F02"/>
    <w:rsid w:val="003C2F7B"/>
    <w:rsid w:val="003C3578"/>
    <w:rsid w:val="003C375F"/>
    <w:rsid w:val="003C37A5"/>
    <w:rsid w:val="003C3833"/>
    <w:rsid w:val="003C3C4E"/>
    <w:rsid w:val="003C3D95"/>
    <w:rsid w:val="003C3FFE"/>
    <w:rsid w:val="003C4815"/>
    <w:rsid w:val="003C4CD7"/>
    <w:rsid w:val="003C4EFC"/>
    <w:rsid w:val="003C50D8"/>
    <w:rsid w:val="003C5204"/>
    <w:rsid w:val="003C54FB"/>
    <w:rsid w:val="003C5BE9"/>
    <w:rsid w:val="003C667C"/>
    <w:rsid w:val="003C6A11"/>
    <w:rsid w:val="003C70C9"/>
    <w:rsid w:val="003C73A3"/>
    <w:rsid w:val="003C74D3"/>
    <w:rsid w:val="003C76FE"/>
    <w:rsid w:val="003C7806"/>
    <w:rsid w:val="003C7A70"/>
    <w:rsid w:val="003C7DFB"/>
    <w:rsid w:val="003D0266"/>
    <w:rsid w:val="003D046A"/>
    <w:rsid w:val="003D04DC"/>
    <w:rsid w:val="003D0E4C"/>
    <w:rsid w:val="003D0F76"/>
    <w:rsid w:val="003D0FBD"/>
    <w:rsid w:val="003D1D32"/>
    <w:rsid w:val="003D1DBC"/>
    <w:rsid w:val="003D243A"/>
    <w:rsid w:val="003D2508"/>
    <w:rsid w:val="003D25B7"/>
    <w:rsid w:val="003D269A"/>
    <w:rsid w:val="003D2815"/>
    <w:rsid w:val="003D2B41"/>
    <w:rsid w:val="003D30A1"/>
    <w:rsid w:val="003D31AC"/>
    <w:rsid w:val="003D35BA"/>
    <w:rsid w:val="003D3A48"/>
    <w:rsid w:val="003D3AE3"/>
    <w:rsid w:val="003D3F92"/>
    <w:rsid w:val="003D4310"/>
    <w:rsid w:val="003D44A7"/>
    <w:rsid w:val="003D462D"/>
    <w:rsid w:val="003D4757"/>
    <w:rsid w:val="003D483F"/>
    <w:rsid w:val="003D48E1"/>
    <w:rsid w:val="003D4C89"/>
    <w:rsid w:val="003D5057"/>
    <w:rsid w:val="003D5275"/>
    <w:rsid w:val="003D52FE"/>
    <w:rsid w:val="003D54B4"/>
    <w:rsid w:val="003D5810"/>
    <w:rsid w:val="003D666E"/>
    <w:rsid w:val="003D6E83"/>
    <w:rsid w:val="003D73BD"/>
    <w:rsid w:val="003D73DF"/>
    <w:rsid w:val="003D75FE"/>
    <w:rsid w:val="003D7C1E"/>
    <w:rsid w:val="003D7E2D"/>
    <w:rsid w:val="003E07C1"/>
    <w:rsid w:val="003E07D1"/>
    <w:rsid w:val="003E0C2C"/>
    <w:rsid w:val="003E0CE2"/>
    <w:rsid w:val="003E1224"/>
    <w:rsid w:val="003E12C9"/>
    <w:rsid w:val="003E1667"/>
    <w:rsid w:val="003E17D2"/>
    <w:rsid w:val="003E1AB5"/>
    <w:rsid w:val="003E1DD4"/>
    <w:rsid w:val="003E1E9B"/>
    <w:rsid w:val="003E2088"/>
    <w:rsid w:val="003E297E"/>
    <w:rsid w:val="003E2DF1"/>
    <w:rsid w:val="003E3200"/>
    <w:rsid w:val="003E366C"/>
    <w:rsid w:val="003E3B9A"/>
    <w:rsid w:val="003E4081"/>
    <w:rsid w:val="003E47AD"/>
    <w:rsid w:val="003E4909"/>
    <w:rsid w:val="003E4EF6"/>
    <w:rsid w:val="003E4F6C"/>
    <w:rsid w:val="003E54B1"/>
    <w:rsid w:val="003E571E"/>
    <w:rsid w:val="003E5918"/>
    <w:rsid w:val="003E5B87"/>
    <w:rsid w:val="003E5E0B"/>
    <w:rsid w:val="003E5FB6"/>
    <w:rsid w:val="003E6B62"/>
    <w:rsid w:val="003E6CA9"/>
    <w:rsid w:val="003E6F5A"/>
    <w:rsid w:val="003E779A"/>
    <w:rsid w:val="003E7955"/>
    <w:rsid w:val="003E7AB7"/>
    <w:rsid w:val="003E7BFD"/>
    <w:rsid w:val="003F090D"/>
    <w:rsid w:val="003F0B63"/>
    <w:rsid w:val="003F0B79"/>
    <w:rsid w:val="003F0B98"/>
    <w:rsid w:val="003F0D06"/>
    <w:rsid w:val="003F11FC"/>
    <w:rsid w:val="003F12B4"/>
    <w:rsid w:val="003F1711"/>
    <w:rsid w:val="003F1A02"/>
    <w:rsid w:val="003F1AF8"/>
    <w:rsid w:val="003F1C41"/>
    <w:rsid w:val="003F1D59"/>
    <w:rsid w:val="003F1F46"/>
    <w:rsid w:val="003F21D9"/>
    <w:rsid w:val="003F239C"/>
    <w:rsid w:val="003F2888"/>
    <w:rsid w:val="003F293D"/>
    <w:rsid w:val="003F2B9E"/>
    <w:rsid w:val="003F3006"/>
    <w:rsid w:val="003F305B"/>
    <w:rsid w:val="003F3240"/>
    <w:rsid w:val="003F36DA"/>
    <w:rsid w:val="003F3942"/>
    <w:rsid w:val="003F3D2A"/>
    <w:rsid w:val="003F3F0D"/>
    <w:rsid w:val="003F3F2A"/>
    <w:rsid w:val="003F43C4"/>
    <w:rsid w:val="003F446C"/>
    <w:rsid w:val="003F4554"/>
    <w:rsid w:val="003F4766"/>
    <w:rsid w:val="003F480A"/>
    <w:rsid w:val="003F486F"/>
    <w:rsid w:val="003F52B2"/>
    <w:rsid w:val="003F5A93"/>
    <w:rsid w:val="003F5E64"/>
    <w:rsid w:val="003F6008"/>
    <w:rsid w:val="003F6148"/>
    <w:rsid w:val="003F66D2"/>
    <w:rsid w:val="003F6711"/>
    <w:rsid w:val="003F6A93"/>
    <w:rsid w:val="003F6CEE"/>
    <w:rsid w:val="003F763E"/>
    <w:rsid w:val="003F77A3"/>
    <w:rsid w:val="003F7CC5"/>
    <w:rsid w:val="004001A8"/>
    <w:rsid w:val="00400255"/>
    <w:rsid w:val="00400818"/>
    <w:rsid w:val="00400875"/>
    <w:rsid w:val="004008DD"/>
    <w:rsid w:val="0040120A"/>
    <w:rsid w:val="0040153D"/>
    <w:rsid w:val="00401B7B"/>
    <w:rsid w:val="004020B3"/>
    <w:rsid w:val="00402635"/>
    <w:rsid w:val="004027BC"/>
    <w:rsid w:val="00402C94"/>
    <w:rsid w:val="00402FA3"/>
    <w:rsid w:val="004030F9"/>
    <w:rsid w:val="00403559"/>
    <w:rsid w:val="00403621"/>
    <w:rsid w:val="00403BB2"/>
    <w:rsid w:val="00404105"/>
    <w:rsid w:val="00404249"/>
    <w:rsid w:val="004046EA"/>
    <w:rsid w:val="00404F7D"/>
    <w:rsid w:val="0040552D"/>
    <w:rsid w:val="0040592C"/>
    <w:rsid w:val="00405936"/>
    <w:rsid w:val="00405A5F"/>
    <w:rsid w:val="00405AAB"/>
    <w:rsid w:val="00405D85"/>
    <w:rsid w:val="00406646"/>
    <w:rsid w:val="00406705"/>
    <w:rsid w:val="00406A69"/>
    <w:rsid w:val="00406C71"/>
    <w:rsid w:val="00406EA9"/>
    <w:rsid w:val="00407053"/>
    <w:rsid w:val="004078EB"/>
    <w:rsid w:val="00407AEB"/>
    <w:rsid w:val="00407B3E"/>
    <w:rsid w:val="00407C75"/>
    <w:rsid w:val="00407F3C"/>
    <w:rsid w:val="0041036F"/>
    <w:rsid w:val="004104F4"/>
    <w:rsid w:val="004109BB"/>
    <w:rsid w:val="00410CA6"/>
    <w:rsid w:val="00410DE1"/>
    <w:rsid w:val="00410E5D"/>
    <w:rsid w:val="0041114A"/>
    <w:rsid w:val="00411A50"/>
    <w:rsid w:val="00411BDE"/>
    <w:rsid w:val="004120EF"/>
    <w:rsid w:val="00412CAC"/>
    <w:rsid w:val="00412FA6"/>
    <w:rsid w:val="0041334F"/>
    <w:rsid w:val="00413BA6"/>
    <w:rsid w:val="00413ED9"/>
    <w:rsid w:val="004142EF"/>
    <w:rsid w:val="00414502"/>
    <w:rsid w:val="00414685"/>
    <w:rsid w:val="004149CC"/>
    <w:rsid w:val="00414C75"/>
    <w:rsid w:val="00414FCC"/>
    <w:rsid w:val="0041512B"/>
    <w:rsid w:val="00415130"/>
    <w:rsid w:val="0041578A"/>
    <w:rsid w:val="00415DCC"/>
    <w:rsid w:val="00415F9B"/>
    <w:rsid w:val="004160B4"/>
    <w:rsid w:val="00416C08"/>
    <w:rsid w:val="004179A0"/>
    <w:rsid w:val="004179E0"/>
    <w:rsid w:val="00417A8E"/>
    <w:rsid w:val="00417AF4"/>
    <w:rsid w:val="00420052"/>
    <w:rsid w:val="004207B5"/>
    <w:rsid w:val="00420879"/>
    <w:rsid w:val="00420964"/>
    <w:rsid w:val="00420D27"/>
    <w:rsid w:val="004210D2"/>
    <w:rsid w:val="004212AF"/>
    <w:rsid w:val="00421400"/>
    <w:rsid w:val="004215D2"/>
    <w:rsid w:val="0042179A"/>
    <w:rsid w:val="004217FD"/>
    <w:rsid w:val="0042274C"/>
    <w:rsid w:val="00422AE2"/>
    <w:rsid w:val="00423246"/>
    <w:rsid w:val="004232BE"/>
    <w:rsid w:val="00423455"/>
    <w:rsid w:val="00423671"/>
    <w:rsid w:val="00423754"/>
    <w:rsid w:val="00423766"/>
    <w:rsid w:val="00423DDA"/>
    <w:rsid w:val="004240D6"/>
    <w:rsid w:val="004242AA"/>
    <w:rsid w:val="00424AB3"/>
    <w:rsid w:val="00424EB9"/>
    <w:rsid w:val="004253A1"/>
    <w:rsid w:val="00425441"/>
    <w:rsid w:val="0042546C"/>
    <w:rsid w:val="00425FD2"/>
    <w:rsid w:val="004262F7"/>
    <w:rsid w:val="00426322"/>
    <w:rsid w:val="004266B9"/>
    <w:rsid w:val="0042691B"/>
    <w:rsid w:val="00426C8D"/>
    <w:rsid w:val="00427866"/>
    <w:rsid w:val="00427CB2"/>
    <w:rsid w:val="0043011A"/>
    <w:rsid w:val="0043060A"/>
    <w:rsid w:val="0043073A"/>
    <w:rsid w:val="0043136F"/>
    <w:rsid w:val="00431BC8"/>
    <w:rsid w:val="00431D69"/>
    <w:rsid w:val="00433A86"/>
    <w:rsid w:val="00433DAD"/>
    <w:rsid w:val="00433DDA"/>
    <w:rsid w:val="004342AB"/>
    <w:rsid w:val="00434AC9"/>
    <w:rsid w:val="00434DDD"/>
    <w:rsid w:val="004354F2"/>
    <w:rsid w:val="00435859"/>
    <w:rsid w:val="00435876"/>
    <w:rsid w:val="00436383"/>
    <w:rsid w:val="00436453"/>
    <w:rsid w:val="004366C4"/>
    <w:rsid w:val="0043681A"/>
    <w:rsid w:val="0043691C"/>
    <w:rsid w:val="0043698F"/>
    <w:rsid w:val="004372BC"/>
    <w:rsid w:val="004378D7"/>
    <w:rsid w:val="00437A98"/>
    <w:rsid w:val="00437AF3"/>
    <w:rsid w:val="00437DF7"/>
    <w:rsid w:val="00437E8B"/>
    <w:rsid w:val="00437FC4"/>
    <w:rsid w:val="00437FF8"/>
    <w:rsid w:val="004400E3"/>
    <w:rsid w:val="0044071E"/>
    <w:rsid w:val="004409AE"/>
    <w:rsid w:val="00440C6A"/>
    <w:rsid w:val="00440F10"/>
    <w:rsid w:val="004411C2"/>
    <w:rsid w:val="0044144F"/>
    <w:rsid w:val="004419F3"/>
    <w:rsid w:val="00441EB0"/>
    <w:rsid w:val="00442FC0"/>
    <w:rsid w:val="004430B5"/>
    <w:rsid w:val="004430FE"/>
    <w:rsid w:val="00443477"/>
    <w:rsid w:val="00443770"/>
    <w:rsid w:val="0044386C"/>
    <w:rsid w:val="004444C2"/>
    <w:rsid w:val="00444ADE"/>
    <w:rsid w:val="00444B96"/>
    <w:rsid w:val="00444D70"/>
    <w:rsid w:val="00444DA6"/>
    <w:rsid w:val="00444E7B"/>
    <w:rsid w:val="00444FC6"/>
    <w:rsid w:val="004456CE"/>
    <w:rsid w:val="004457B6"/>
    <w:rsid w:val="00446232"/>
    <w:rsid w:val="00446375"/>
    <w:rsid w:val="00446B27"/>
    <w:rsid w:val="00446D32"/>
    <w:rsid w:val="0044738B"/>
    <w:rsid w:val="00447598"/>
    <w:rsid w:val="004477F1"/>
    <w:rsid w:val="00447BFE"/>
    <w:rsid w:val="00447CAD"/>
    <w:rsid w:val="00447CB5"/>
    <w:rsid w:val="00447D82"/>
    <w:rsid w:val="0045085B"/>
    <w:rsid w:val="00451AF7"/>
    <w:rsid w:val="00451D8F"/>
    <w:rsid w:val="0045234D"/>
    <w:rsid w:val="00452ECB"/>
    <w:rsid w:val="00452EE8"/>
    <w:rsid w:val="00452F5D"/>
    <w:rsid w:val="00452F96"/>
    <w:rsid w:val="00452FEE"/>
    <w:rsid w:val="00453189"/>
    <w:rsid w:val="00453683"/>
    <w:rsid w:val="004536E1"/>
    <w:rsid w:val="00453816"/>
    <w:rsid w:val="00453BEA"/>
    <w:rsid w:val="00453C0A"/>
    <w:rsid w:val="004541C1"/>
    <w:rsid w:val="0045454D"/>
    <w:rsid w:val="00454A94"/>
    <w:rsid w:val="00454AF5"/>
    <w:rsid w:val="00455017"/>
    <w:rsid w:val="0045521C"/>
    <w:rsid w:val="00455493"/>
    <w:rsid w:val="004554A0"/>
    <w:rsid w:val="00455609"/>
    <w:rsid w:val="00455919"/>
    <w:rsid w:val="00455A5B"/>
    <w:rsid w:val="00455BFF"/>
    <w:rsid w:val="00455FED"/>
    <w:rsid w:val="004561D1"/>
    <w:rsid w:val="00456C22"/>
    <w:rsid w:val="00460783"/>
    <w:rsid w:val="0046092E"/>
    <w:rsid w:val="00460999"/>
    <w:rsid w:val="00460A11"/>
    <w:rsid w:val="00460B3F"/>
    <w:rsid w:val="0046154A"/>
    <w:rsid w:val="00461577"/>
    <w:rsid w:val="00461932"/>
    <w:rsid w:val="00462166"/>
    <w:rsid w:val="004623F3"/>
    <w:rsid w:val="00462F0D"/>
    <w:rsid w:val="00463536"/>
    <w:rsid w:val="0046381F"/>
    <w:rsid w:val="00463B27"/>
    <w:rsid w:val="00464348"/>
    <w:rsid w:val="0046435F"/>
    <w:rsid w:val="00464586"/>
    <w:rsid w:val="00465415"/>
    <w:rsid w:val="004654FE"/>
    <w:rsid w:val="00465631"/>
    <w:rsid w:val="00465695"/>
    <w:rsid w:val="00465B74"/>
    <w:rsid w:val="00465D1E"/>
    <w:rsid w:val="00465EC2"/>
    <w:rsid w:val="00465F82"/>
    <w:rsid w:val="00466A04"/>
    <w:rsid w:val="00466E8F"/>
    <w:rsid w:val="00467423"/>
    <w:rsid w:val="004675AA"/>
    <w:rsid w:val="004679F2"/>
    <w:rsid w:val="00467C8D"/>
    <w:rsid w:val="00467C95"/>
    <w:rsid w:val="00467FCF"/>
    <w:rsid w:val="004700BD"/>
    <w:rsid w:val="004704D8"/>
    <w:rsid w:val="004706E9"/>
    <w:rsid w:val="00470776"/>
    <w:rsid w:val="0047081A"/>
    <w:rsid w:val="004708D0"/>
    <w:rsid w:val="004709FB"/>
    <w:rsid w:val="00470A37"/>
    <w:rsid w:val="00470B96"/>
    <w:rsid w:val="004710A9"/>
    <w:rsid w:val="004711BE"/>
    <w:rsid w:val="0047125F"/>
    <w:rsid w:val="004712F3"/>
    <w:rsid w:val="00471A11"/>
    <w:rsid w:val="00471F47"/>
    <w:rsid w:val="00472534"/>
    <w:rsid w:val="00472706"/>
    <w:rsid w:val="00472ED4"/>
    <w:rsid w:val="00472F10"/>
    <w:rsid w:val="004730A5"/>
    <w:rsid w:val="004735CF"/>
    <w:rsid w:val="004736BB"/>
    <w:rsid w:val="004737EA"/>
    <w:rsid w:val="00473831"/>
    <w:rsid w:val="004738A6"/>
    <w:rsid w:val="00473943"/>
    <w:rsid w:val="00474403"/>
    <w:rsid w:val="004746AA"/>
    <w:rsid w:val="004748E1"/>
    <w:rsid w:val="00474914"/>
    <w:rsid w:val="00474BD9"/>
    <w:rsid w:val="00474C7D"/>
    <w:rsid w:val="00474EFC"/>
    <w:rsid w:val="004751CA"/>
    <w:rsid w:val="004757F6"/>
    <w:rsid w:val="00475B84"/>
    <w:rsid w:val="00475C03"/>
    <w:rsid w:val="00475C39"/>
    <w:rsid w:val="0047635F"/>
    <w:rsid w:val="00476AE9"/>
    <w:rsid w:val="00476EEE"/>
    <w:rsid w:val="00477095"/>
    <w:rsid w:val="00477942"/>
    <w:rsid w:val="00477C50"/>
    <w:rsid w:val="004801FA"/>
    <w:rsid w:val="00480A27"/>
    <w:rsid w:val="00480DA5"/>
    <w:rsid w:val="004814C3"/>
    <w:rsid w:val="0048150E"/>
    <w:rsid w:val="00481AC0"/>
    <w:rsid w:val="00481D2B"/>
    <w:rsid w:val="004823DD"/>
    <w:rsid w:val="00482541"/>
    <w:rsid w:val="0048259F"/>
    <w:rsid w:val="00482745"/>
    <w:rsid w:val="00482BDA"/>
    <w:rsid w:val="00482C1E"/>
    <w:rsid w:val="00482E9C"/>
    <w:rsid w:val="00483268"/>
    <w:rsid w:val="0048333E"/>
    <w:rsid w:val="004835FC"/>
    <w:rsid w:val="00483DEE"/>
    <w:rsid w:val="00484758"/>
    <w:rsid w:val="00484981"/>
    <w:rsid w:val="0048517C"/>
    <w:rsid w:val="00485A6D"/>
    <w:rsid w:val="00485BE1"/>
    <w:rsid w:val="00485DC1"/>
    <w:rsid w:val="004864AB"/>
    <w:rsid w:val="004868CC"/>
    <w:rsid w:val="00486A95"/>
    <w:rsid w:val="00486B0B"/>
    <w:rsid w:val="00486F4B"/>
    <w:rsid w:val="004872AE"/>
    <w:rsid w:val="0048779A"/>
    <w:rsid w:val="00487D1C"/>
    <w:rsid w:val="00487E37"/>
    <w:rsid w:val="00487FC7"/>
    <w:rsid w:val="004910D8"/>
    <w:rsid w:val="004913DB"/>
    <w:rsid w:val="00491461"/>
    <w:rsid w:val="00491E25"/>
    <w:rsid w:val="004922B1"/>
    <w:rsid w:val="004923B5"/>
    <w:rsid w:val="00492430"/>
    <w:rsid w:val="00492579"/>
    <w:rsid w:val="004925A0"/>
    <w:rsid w:val="004926FD"/>
    <w:rsid w:val="00492861"/>
    <w:rsid w:val="0049298B"/>
    <w:rsid w:val="0049299F"/>
    <w:rsid w:val="004929DD"/>
    <w:rsid w:val="00493164"/>
    <w:rsid w:val="0049323C"/>
    <w:rsid w:val="004937F8"/>
    <w:rsid w:val="00494A7D"/>
    <w:rsid w:val="00494D4F"/>
    <w:rsid w:val="00494DB2"/>
    <w:rsid w:val="00494DE8"/>
    <w:rsid w:val="00494E97"/>
    <w:rsid w:val="004953FE"/>
    <w:rsid w:val="00495465"/>
    <w:rsid w:val="00495B05"/>
    <w:rsid w:val="00495BE7"/>
    <w:rsid w:val="00495E55"/>
    <w:rsid w:val="00495E8D"/>
    <w:rsid w:val="00496201"/>
    <w:rsid w:val="00496936"/>
    <w:rsid w:val="00496AD0"/>
    <w:rsid w:val="004970AD"/>
    <w:rsid w:val="004979C2"/>
    <w:rsid w:val="004979D3"/>
    <w:rsid w:val="00497BC1"/>
    <w:rsid w:val="00497EB6"/>
    <w:rsid w:val="004A0298"/>
    <w:rsid w:val="004A0975"/>
    <w:rsid w:val="004A0E8C"/>
    <w:rsid w:val="004A0ECB"/>
    <w:rsid w:val="004A1306"/>
    <w:rsid w:val="004A18C6"/>
    <w:rsid w:val="004A1AE2"/>
    <w:rsid w:val="004A1FE0"/>
    <w:rsid w:val="004A3479"/>
    <w:rsid w:val="004A3513"/>
    <w:rsid w:val="004A37B0"/>
    <w:rsid w:val="004A3CC9"/>
    <w:rsid w:val="004A4549"/>
    <w:rsid w:val="004A4715"/>
    <w:rsid w:val="004A4BCA"/>
    <w:rsid w:val="004A52AA"/>
    <w:rsid w:val="004A554C"/>
    <w:rsid w:val="004A6927"/>
    <w:rsid w:val="004A6DC8"/>
    <w:rsid w:val="004A71D0"/>
    <w:rsid w:val="004A722B"/>
    <w:rsid w:val="004A7284"/>
    <w:rsid w:val="004A7C9E"/>
    <w:rsid w:val="004B0183"/>
    <w:rsid w:val="004B022F"/>
    <w:rsid w:val="004B070F"/>
    <w:rsid w:val="004B0B2D"/>
    <w:rsid w:val="004B0DD0"/>
    <w:rsid w:val="004B0F2B"/>
    <w:rsid w:val="004B12C0"/>
    <w:rsid w:val="004B14DD"/>
    <w:rsid w:val="004B1547"/>
    <w:rsid w:val="004B1A3E"/>
    <w:rsid w:val="004B1E15"/>
    <w:rsid w:val="004B2106"/>
    <w:rsid w:val="004B22C3"/>
    <w:rsid w:val="004B23A0"/>
    <w:rsid w:val="004B253C"/>
    <w:rsid w:val="004B27FD"/>
    <w:rsid w:val="004B2955"/>
    <w:rsid w:val="004B296E"/>
    <w:rsid w:val="004B2988"/>
    <w:rsid w:val="004B2E86"/>
    <w:rsid w:val="004B31E5"/>
    <w:rsid w:val="004B3271"/>
    <w:rsid w:val="004B3347"/>
    <w:rsid w:val="004B3348"/>
    <w:rsid w:val="004B367C"/>
    <w:rsid w:val="004B37D0"/>
    <w:rsid w:val="004B38DC"/>
    <w:rsid w:val="004B3E82"/>
    <w:rsid w:val="004B4367"/>
    <w:rsid w:val="004B4A7A"/>
    <w:rsid w:val="004B4CC9"/>
    <w:rsid w:val="004B4F2F"/>
    <w:rsid w:val="004B51D5"/>
    <w:rsid w:val="004B5431"/>
    <w:rsid w:val="004B5837"/>
    <w:rsid w:val="004B5883"/>
    <w:rsid w:val="004B5B2A"/>
    <w:rsid w:val="004B5DA2"/>
    <w:rsid w:val="004B5E6C"/>
    <w:rsid w:val="004B5FDC"/>
    <w:rsid w:val="004B6402"/>
    <w:rsid w:val="004B64BA"/>
    <w:rsid w:val="004B671B"/>
    <w:rsid w:val="004B67F0"/>
    <w:rsid w:val="004B6E5D"/>
    <w:rsid w:val="004B75FE"/>
    <w:rsid w:val="004B7C03"/>
    <w:rsid w:val="004C0134"/>
    <w:rsid w:val="004C02FA"/>
    <w:rsid w:val="004C04B3"/>
    <w:rsid w:val="004C0E9E"/>
    <w:rsid w:val="004C0F6B"/>
    <w:rsid w:val="004C0FAE"/>
    <w:rsid w:val="004C14D0"/>
    <w:rsid w:val="004C1598"/>
    <w:rsid w:val="004C188E"/>
    <w:rsid w:val="004C1985"/>
    <w:rsid w:val="004C1DEE"/>
    <w:rsid w:val="004C2172"/>
    <w:rsid w:val="004C224B"/>
    <w:rsid w:val="004C2768"/>
    <w:rsid w:val="004C2A46"/>
    <w:rsid w:val="004C2D8B"/>
    <w:rsid w:val="004C2F2F"/>
    <w:rsid w:val="004C3030"/>
    <w:rsid w:val="004C3295"/>
    <w:rsid w:val="004C3D6C"/>
    <w:rsid w:val="004C4456"/>
    <w:rsid w:val="004C51E8"/>
    <w:rsid w:val="004C536C"/>
    <w:rsid w:val="004C5B28"/>
    <w:rsid w:val="004C63B2"/>
    <w:rsid w:val="004C63BD"/>
    <w:rsid w:val="004C66AA"/>
    <w:rsid w:val="004C6BEA"/>
    <w:rsid w:val="004C6C73"/>
    <w:rsid w:val="004C6CEF"/>
    <w:rsid w:val="004C6CF2"/>
    <w:rsid w:val="004C7005"/>
    <w:rsid w:val="004C7439"/>
    <w:rsid w:val="004C7603"/>
    <w:rsid w:val="004C796C"/>
    <w:rsid w:val="004C7A53"/>
    <w:rsid w:val="004C7C24"/>
    <w:rsid w:val="004C7CA8"/>
    <w:rsid w:val="004D022A"/>
    <w:rsid w:val="004D032B"/>
    <w:rsid w:val="004D06B5"/>
    <w:rsid w:val="004D0730"/>
    <w:rsid w:val="004D0C3F"/>
    <w:rsid w:val="004D0F89"/>
    <w:rsid w:val="004D1000"/>
    <w:rsid w:val="004D1044"/>
    <w:rsid w:val="004D106B"/>
    <w:rsid w:val="004D10D4"/>
    <w:rsid w:val="004D1293"/>
    <w:rsid w:val="004D13A4"/>
    <w:rsid w:val="004D13EB"/>
    <w:rsid w:val="004D156B"/>
    <w:rsid w:val="004D1577"/>
    <w:rsid w:val="004D15B7"/>
    <w:rsid w:val="004D1E59"/>
    <w:rsid w:val="004D2345"/>
    <w:rsid w:val="004D2C00"/>
    <w:rsid w:val="004D2CE2"/>
    <w:rsid w:val="004D2EF7"/>
    <w:rsid w:val="004D304D"/>
    <w:rsid w:val="004D32C0"/>
    <w:rsid w:val="004D355E"/>
    <w:rsid w:val="004D360C"/>
    <w:rsid w:val="004D3A2E"/>
    <w:rsid w:val="004D3C27"/>
    <w:rsid w:val="004D3C8F"/>
    <w:rsid w:val="004D3F71"/>
    <w:rsid w:val="004D4105"/>
    <w:rsid w:val="004D4913"/>
    <w:rsid w:val="004D4979"/>
    <w:rsid w:val="004D4C01"/>
    <w:rsid w:val="004D4E62"/>
    <w:rsid w:val="004D508E"/>
    <w:rsid w:val="004D548A"/>
    <w:rsid w:val="004D5867"/>
    <w:rsid w:val="004D58D3"/>
    <w:rsid w:val="004D5976"/>
    <w:rsid w:val="004D59F0"/>
    <w:rsid w:val="004D5C91"/>
    <w:rsid w:val="004D5F06"/>
    <w:rsid w:val="004D5F0C"/>
    <w:rsid w:val="004D60A5"/>
    <w:rsid w:val="004D691F"/>
    <w:rsid w:val="004D6AE4"/>
    <w:rsid w:val="004D723A"/>
    <w:rsid w:val="004D7317"/>
    <w:rsid w:val="004D7EED"/>
    <w:rsid w:val="004E003F"/>
    <w:rsid w:val="004E053B"/>
    <w:rsid w:val="004E0C94"/>
    <w:rsid w:val="004E102E"/>
    <w:rsid w:val="004E1449"/>
    <w:rsid w:val="004E1885"/>
    <w:rsid w:val="004E1D5F"/>
    <w:rsid w:val="004E1FF1"/>
    <w:rsid w:val="004E21B3"/>
    <w:rsid w:val="004E2E30"/>
    <w:rsid w:val="004E30D4"/>
    <w:rsid w:val="004E32BA"/>
    <w:rsid w:val="004E34FD"/>
    <w:rsid w:val="004E3583"/>
    <w:rsid w:val="004E35FD"/>
    <w:rsid w:val="004E37F5"/>
    <w:rsid w:val="004E3B34"/>
    <w:rsid w:val="004E3DC4"/>
    <w:rsid w:val="004E48F5"/>
    <w:rsid w:val="004E4B04"/>
    <w:rsid w:val="004E4EFE"/>
    <w:rsid w:val="004E56BA"/>
    <w:rsid w:val="004E5D3C"/>
    <w:rsid w:val="004E6579"/>
    <w:rsid w:val="004E6583"/>
    <w:rsid w:val="004E6ABA"/>
    <w:rsid w:val="004E6CDC"/>
    <w:rsid w:val="004E6F07"/>
    <w:rsid w:val="004E7122"/>
    <w:rsid w:val="004E71C1"/>
    <w:rsid w:val="004E745A"/>
    <w:rsid w:val="004E7518"/>
    <w:rsid w:val="004E76D3"/>
    <w:rsid w:val="004E7D19"/>
    <w:rsid w:val="004E7F9E"/>
    <w:rsid w:val="004F0310"/>
    <w:rsid w:val="004F0461"/>
    <w:rsid w:val="004F0895"/>
    <w:rsid w:val="004F0CB8"/>
    <w:rsid w:val="004F11F5"/>
    <w:rsid w:val="004F133A"/>
    <w:rsid w:val="004F1444"/>
    <w:rsid w:val="004F1584"/>
    <w:rsid w:val="004F1783"/>
    <w:rsid w:val="004F19DD"/>
    <w:rsid w:val="004F1EEE"/>
    <w:rsid w:val="004F1F5A"/>
    <w:rsid w:val="004F25DF"/>
    <w:rsid w:val="004F3659"/>
    <w:rsid w:val="004F3FFA"/>
    <w:rsid w:val="004F43A0"/>
    <w:rsid w:val="004F46CF"/>
    <w:rsid w:val="004F47E1"/>
    <w:rsid w:val="004F48DC"/>
    <w:rsid w:val="004F4C39"/>
    <w:rsid w:val="004F4CF3"/>
    <w:rsid w:val="004F5085"/>
    <w:rsid w:val="004F528F"/>
    <w:rsid w:val="004F5C00"/>
    <w:rsid w:val="004F5D7A"/>
    <w:rsid w:val="004F649C"/>
    <w:rsid w:val="004F6654"/>
    <w:rsid w:val="004F6662"/>
    <w:rsid w:val="004F6897"/>
    <w:rsid w:val="004F7117"/>
    <w:rsid w:val="004F7730"/>
    <w:rsid w:val="004F780B"/>
    <w:rsid w:val="004F7AF0"/>
    <w:rsid w:val="004F7B5B"/>
    <w:rsid w:val="00500816"/>
    <w:rsid w:val="00500E7B"/>
    <w:rsid w:val="005012CC"/>
    <w:rsid w:val="0050135B"/>
    <w:rsid w:val="0050177B"/>
    <w:rsid w:val="00501909"/>
    <w:rsid w:val="00501B5A"/>
    <w:rsid w:val="00501D28"/>
    <w:rsid w:val="0050227B"/>
    <w:rsid w:val="005027F4"/>
    <w:rsid w:val="00502A03"/>
    <w:rsid w:val="00502A10"/>
    <w:rsid w:val="00502AF0"/>
    <w:rsid w:val="00502C40"/>
    <w:rsid w:val="00502CE0"/>
    <w:rsid w:val="00502E55"/>
    <w:rsid w:val="00502FBE"/>
    <w:rsid w:val="005031CC"/>
    <w:rsid w:val="005032ED"/>
    <w:rsid w:val="005034D1"/>
    <w:rsid w:val="00503707"/>
    <w:rsid w:val="00503C0A"/>
    <w:rsid w:val="00503F33"/>
    <w:rsid w:val="00503FED"/>
    <w:rsid w:val="00504526"/>
    <w:rsid w:val="0050483E"/>
    <w:rsid w:val="0050488E"/>
    <w:rsid w:val="00504B92"/>
    <w:rsid w:val="00504CB6"/>
    <w:rsid w:val="00505479"/>
    <w:rsid w:val="0050556C"/>
    <w:rsid w:val="0050571A"/>
    <w:rsid w:val="00505DC8"/>
    <w:rsid w:val="00505DFA"/>
    <w:rsid w:val="00505EB0"/>
    <w:rsid w:val="005061AB"/>
    <w:rsid w:val="005061C3"/>
    <w:rsid w:val="00506338"/>
    <w:rsid w:val="0050636B"/>
    <w:rsid w:val="005068E9"/>
    <w:rsid w:val="00506D79"/>
    <w:rsid w:val="00506E28"/>
    <w:rsid w:val="005073C0"/>
    <w:rsid w:val="005076EA"/>
    <w:rsid w:val="00507A12"/>
    <w:rsid w:val="00507E2B"/>
    <w:rsid w:val="00510C8E"/>
    <w:rsid w:val="00511451"/>
    <w:rsid w:val="005116BF"/>
    <w:rsid w:val="00512210"/>
    <w:rsid w:val="00512882"/>
    <w:rsid w:val="00512BFA"/>
    <w:rsid w:val="00512F6F"/>
    <w:rsid w:val="00512F78"/>
    <w:rsid w:val="00513888"/>
    <w:rsid w:val="0051442D"/>
    <w:rsid w:val="00514EC7"/>
    <w:rsid w:val="0051500E"/>
    <w:rsid w:val="005152DE"/>
    <w:rsid w:val="00515326"/>
    <w:rsid w:val="005153F9"/>
    <w:rsid w:val="0051571F"/>
    <w:rsid w:val="00515AEE"/>
    <w:rsid w:val="00515D3F"/>
    <w:rsid w:val="00515DEF"/>
    <w:rsid w:val="0051661E"/>
    <w:rsid w:val="00516767"/>
    <w:rsid w:val="005173AB"/>
    <w:rsid w:val="005179A0"/>
    <w:rsid w:val="005200B1"/>
    <w:rsid w:val="005200C6"/>
    <w:rsid w:val="0052056F"/>
    <w:rsid w:val="00520706"/>
    <w:rsid w:val="00520C47"/>
    <w:rsid w:val="005211FA"/>
    <w:rsid w:val="005215D6"/>
    <w:rsid w:val="00521BBA"/>
    <w:rsid w:val="00522839"/>
    <w:rsid w:val="005228D2"/>
    <w:rsid w:val="0052338B"/>
    <w:rsid w:val="005234B9"/>
    <w:rsid w:val="00523652"/>
    <w:rsid w:val="0052366A"/>
    <w:rsid w:val="005238F1"/>
    <w:rsid w:val="005239CD"/>
    <w:rsid w:val="00523FCC"/>
    <w:rsid w:val="00524173"/>
    <w:rsid w:val="00524694"/>
    <w:rsid w:val="005246BB"/>
    <w:rsid w:val="00524927"/>
    <w:rsid w:val="00524C38"/>
    <w:rsid w:val="00525174"/>
    <w:rsid w:val="00525721"/>
    <w:rsid w:val="00525733"/>
    <w:rsid w:val="005259BA"/>
    <w:rsid w:val="005264CB"/>
    <w:rsid w:val="0052670C"/>
    <w:rsid w:val="0052684D"/>
    <w:rsid w:val="005269B5"/>
    <w:rsid w:val="00526BDE"/>
    <w:rsid w:val="00527101"/>
    <w:rsid w:val="0052725B"/>
    <w:rsid w:val="00527334"/>
    <w:rsid w:val="005274FC"/>
    <w:rsid w:val="0052761E"/>
    <w:rsid w:val="00527E0E"/>
    <w:rsid w:val="00527E6B"/>
    <w:rsid w:val="005300AB"/>
    <w:rsid w:val="005302B1"/>
    <w:rsid w:val="00530D20"/>
    <w:rsid w:val="005311E7"/>
    <w:rsid w:val="0053160E"/>
    <w:rsid w:val="00531A9D"/>
    <w:rsid w:val="00531EE3"/>
    <w:rsid w:val="00531F61"/>
    <w:rsid w:val="00531FAB"/>
    <w:rsid w:val="005320A3"/>
    <w:rsid w:val="00532763"/>
    <w:rsid w:val="005327A2"/>
    <w:rsid w:val="00532D0A"/>
    <w:rsid w:val="00532F86"/>
    <w:rsid w:val="0053338A"/>
    <w:rsid w:val="005333B1"/>
    <w:rsid w:val="005333E1"/>
    <w:rsid w:val="005339DF"/>
    <w:rsid w:val="00533B30"/>
    <w:rsid w:val="00533B71"/>
    <w:rsid w:val="00534497"/>
    <w:rsid w:val="005348AB"/>
    <w:rsid w:val="00534A15"/>
    <w:rsid w:val="00534C8B"/>
    <w:rsid w:val="00534E6E"/>
    <w:rsid w:val="00535698"/>
    <w:rsid w:val="00535A30"/>
    <w:rsid w:val="00535E36"/>
    <w:rsid w:val="00536205"/>
    <w:rsid w:val="005362FF"/>
    <w:rsid w:val="0053647E"/>
    <w:rsid w:val="005364E6"/>
    <w:rsid w:val="005367F3"/>
    <w:rsid w:val="00536C43"/>
    <w:rsid w:val="0053738D"/>
    <w:rsid w:val="005376FB"/>
    <w:rsid w:val="00537FB1"/>
    <w:rsid w:val="0054005E"/>
    <w:rsid w:val="00540175"/>
    <w:rsid w:val="005401B2"/>
    <w:rsid w:val="0054020B"/>
    <w:rsid w:val="0054041F"/>
    <w:rsid w:val="00540443"/>
    <w:rsid w:val="0054061C"/>
    <w:rsid w:val="00540803"/>
    <w:rsid w:val="0054082C"/>
    <w:rsid w:val="00540BD6"/>
    <w:rsid w:val="00540D83"/>
    <w:rsid w:val="00541025"/>
    <w:rsid w:val="00541135"/>
    <w:rsid w:val="005419DB"/>
    <w:rsid w:val="00541B3B"/>
    <w:rsid w:val="005425BD"/>
    <w:rsid w:val="00542D34"/>
    <w:rsid w:val="00542F06"/>
    <w:rsid w:val="00543173"/>
    <w:rsid w:val="00543619"/>
    <w:rsid w:val="00543825"/>
    <w:rsid w:val="005438CE"/>
    <w:rsid w:val="0054425C"/>
    <w:rsid w:val="005445DF"/>
    <w:rsid w:val="00544753"/>
    <w:rsid w:val="00544817"/>
    <w:rsid w:val="005449DF"/>
    <w:rsid w:val="0054509E"/>
    <w:rsid w:val="005453C6"/>
    <w:rsid w:val="00545417"/>
    <w:rsid w:val="005454D9"/>
    <w:rsid w:val="0054556C"/>
    <w:rsid w:val="00545FC6"/>
    <w:rsid w:val="00546002"/>
    <w:rsid w:val="0054673B"/>
    <w:rsid w:val="00546835"/>
    <w:rsid w:val="00546A5B"/>
    <w:rsid w:val="00546D7D"/>
    <w:rsid w:val="00547BEE"/>
    <w:rsid w:val="00547CC3"/>
    <w:rsid w:val="00550081"/>
    <w:rsid w:val="0055051E"/>
    <w:rsid w:val="00550629"/>
    <w:rsid w:val="00550CC8"/>
    <w:rsid w:val="00550EAC"/>
    <w:rsid w:val="00551646"/>
    <w:rsid w:val="00551B07"/>
    <w:rsid w:val="00551C8D"/>
    <w:rsid w:val="00552283"/>
    <w:rsid w:val="00552295"/>
    <w:rsid w:val="00552356"/>
    <w:rsid w:val="00552783"/>
    <w:rsid w:val="00552957"/>
    <w:rsid w:val="00552BEF"/>
    <w:rsid w:val="005531D0"/>
    <w:rsid w:val="005536CF"/>
    <w:rsid w:val="00553825"/>
    <w:rsid w:val="0055387E"/>
    <w:rsid w:val="0055391A"/>
    <w:rsid w:val="00553C0D"/>
    <w:rsid w:val="0055412B"/>
    <w:rsid w:val="00554379"/>
    <w:rsid w:val="0055455E"/>
    <w:rsid w:val="00554BD4"/>
    <w:rsid w:val="00555409"/>
    <w:rsid w:val="00555770"/>
    <w:rsid w:val="005559E5"/>
    <w:rsid w:val="00555D32"/>
    <w:rsid w:val="0055642E"/>
    <w:rsid w:val="00556490"/>
    <w:rsid w:val="0055674F"/>
    <w:rsid w:val="005568A9"/>
    <w:rsid w:val="0055697A"/>
    <w:rsid w:val="00556B02"/>
    <w:rsid w:val="00556C28"/>
    <w:rsid w:val="00557538"/>
    <w:rsid w:val="005576D3"/>
    <w:rsid w:val="0055771D"/>
    <w:rsid w:val="00557B7F"/>
    <w:rsid w:val="00557B94"/>
    <w:rsid w:val="00557E2A"/>
    <w:rsid w:val="00557E30"/>
    <w:rsid w:val="005608A8"/>
    <w:rsid w:val="005610D6"/>
    <w:rsid w:val="00561205"/>
    <w:rsid w:val="0056120C"/>
    <w:rsid w:val="0056167C"/>
    <w:rsid w:val="005617EC"/>
    <w:rsid w:val="00561802"/>
    <w:rsid w:val="00561AE2"/>
    <w:rsid w:val="00561B35"/>
    <w:rsid w:val="0056236A"/>
    <w:rsid w:val="0056301E"/>
    <w:rsid w:val="00563034"/>
    <w:rsid w:val="005630DB"/>
    <w:rsid w:val="005630E2"/>
    <w:rsid w:val="005634D3"/>
    <w:rsid w:val="0056358F"/>
    <w:rsid w:val="005637F5"/>
    <w:rsid w:val="00563AB6"/>
    <w:rsid w:val="005645CF"/>
    <w:rsid w:val="00564815"/>
    <w:rsid w:val="005648AA"/>
    <w:rsid w:val="00564A37"/>
    <w:rsid w:val="00564DCE"/>
    <w:rsid w:val="00564E20"/>
    <w:rsid w:val="005650A6"/>
    <w:rsid w:val="005650DA"/>
    <w:rsid w:val="005652CF"/>
    <w:rsid w:val="005653D0"/>
    <w:rsid w:val="00565402"/>
    <w:rsid w:val="00565905"/>
    <w:rsid w:val="00565B43"/>
    <w:rsid w:val="00565C12"/>
    <w:rsid w:val="00565F83"/>
    <w:rsid w:val="00566546"/>
    <w:rsid w:val="005666E3"/>
    <w:rsid w:val="0056672E"/>
    <w:rsid w:val="005668C0"/>
    <w:rsid w:val="00566B0C"/>
    <w:rsid w:val="00566C2D"/>
    <w:rsid w:val="00566D49"/>
    <w:rsid w:val="00566EAF"/>
    <w:rsid w:val="0056731F"/>
    <w:rsid w:val="00567BE3"/>
    <w:rsid w:val="00567DA7"/>
    <w:rsid w:val="00567E81"/>
    <w:rsid w:val="00570044"/>
    <w:rsid w:val="005701A7"/>
    <w:rsid w:val="005701E6"/>
    <w:rsid w:val="005702F9"/>
    <w:rsid w:val="005707F7"/>
    <w:rsid w:val="005709BE"/>
    <w:rsid w:val="00570FB0"/>
    <w:rsid w:val="00571060"/>
    <w:rsid w:val="005716F6"/>
    <w:rsid w:val="005717A7"/>
    <w:rsid w:val="005717C5"/>
    <w:rsid w:val="00571D7C"/>
    <w:rsid w:val="00571EF3"/>
    <w:rsid w:val="0057205F"/>
    <w:rsid w:val="00572A90"/>
    <w:rsid w:val="00573097"/>
    <w:rsid w:val="0057359E"/>
    <w:rsid w:val="00573683"/>
    <w:rsid w:val="00573973"/>
    <w:rsid w:val="00573BDF"/>
    <w:rsid w:val="00573E97"/>
    <w:rsid w:val="00575163"/>
    <w:rsid w:val="005755D9"/>
    <w:rsid w:val="00575B6C"/>
    <w:rsid w:val="00575C5A"/>
    <w:rsid w:val="00575E53"/>
    <w:rsid w:val="00575FC7"/>
    <w:rsid w:val="00575FE8"/>
    <w:rsid w:val="0057603A"/>
    <w:rsid w:val="00576279"/>
    <w:rsid w:val="005762CB"/>
    <w:rsid w:val="00576952"/>
    <w:rsid w:val="00576E51"/>
    <w:rsid w:val="00577017"/>
    <w:rsid w:val="0057746C"/>
    <w:rsid w:val="0057793A"/>
    <w:rsid w:val="0057798B"/>
    <w:rsid w:val="00577FD7"/>
    <w:rsid w:val="0058064C"/>
    <w:rsid w:val="005812C1"/>
    <w:rsid w:val="0058178C"/>
    <w:rsid w:val="0058190C"/>
    <w:rsid w:val="00581B02"/>
    <w:rsid w:val="00581DF1"/>
    <w:rsid w:val="0058203A"/>
    <w:rsid w:val="00582A30"/>
    <w:rsid w:val="00582DA8"/>
    <w:rsid w:val="005830D5"/>
    <w:rsid w:val="005832BB"/>
    <w:rsid w:val="00583B42"/>
    <w:rsid w:val="00584B39"/>
    <w:rsid w:val="00584EB7"/>
    <w:rsid w:val="00584ECC"/>
    <w:rsid w:val="0058575B"/>
    <w:rsid w:val="005857E7"/>
    <w:rsid w:val="00585D7A"/>
    <w:rsid w:val="00585EB9"/>
    <w:rsid w:val="005867A2"/>
    <w:rsid w:val="00586CD1"/>
    <w:rsid w:val="0058730F"/>
    <w:rsid w:val="00587B3D"/>
    <w:rsid w:val="00587B92"/>
    <w:rsid w:val="00587D10"/>
    <w:rsid w:val="0059011F"/>
    <w:rsid w:val="005904A4"/>
    <w:rsid w:val="00590749"/>
    <w:rsid w:val="005907F0"/>
    <w:rsid w:val="00590DFD"/>
    <w:rsid w:val="00591050"/>
    <w:rsid w:val="005918A3"/>
    <w:rsid w:val="005918E5"/>
    <w:rsid w:val="00591DB2"/>
    <w:rsid w:val="00591E0E"/>
    <w:rsid w:val="0059210F"/>
    <w:rsid w:val="005921CC"/>
    <w:rsid w:val="00592B35"/>
    <w:rsid w:val="00592C59"/>
    <w:rsid w:val="00592F45"/>
    <w:rsid w:val="0059328A"/>
    <w:rsid w:val="005934F4"/>
    <w:rsid w:val="00593990"/>
    <w:rsid w:val="0059409A"/>
    <w:rsid w:val="0059418F"/>
    <w:rsid w:val="005941F9"/>
    <w:rsid w:val="0059443F"/>
    <w:rsid w:val="00594DF4"/>
    <w:rsid w:val="00594E0B"/>
    <w:rsid w:val="005957F6"/>
    <w:rsid w:val="00595B89"/>
    <w:rsid w:val="00595F4B"/>
    <w:rsid w:val="0059630C"/>
    <w:rsid w:val="0059658B"/>
    <w:rsid w:val="00596616"/>
    <w:rsid w:val="00596802"/>
    <w:rsid w:val="00596C56"/>
    <w:rsid w:val="00597726"/>
    <w:rsid w:val="005977AD"/>
    <w:rsid w:val="00597C25"/>
    <w:rsid w:val="005A04E2"/>
    <w:rsid w:val="005A0B62"/>
    <w:rsid w:val="005A0C4D"/>
    <w:rsid w:val="005A189F"/>
    <w:rsid w:val="005A191B"/>
    <w:rsid w:val="005A1A8B"/>
    <w:rsid w:val="005A2AF7"/>
    <w:rsid w:val="005A2CB9"/>
    <w:rsid w:val="005A3705"/>
    <w:rsid w:val="005A462B"/>
    <w:rsid w:val="005A487F"/>
    <w:rsid w:val="005A4A61"/>
    <w:rsid w:val="005A53A7"/>
    <w:rsid w:val="005A5BC2"/>
    <w:rsid w:val="005A5C57"/>
    <w:rsid w:val="005A5DFE"/>
    <w:rsid w:val="005A6174"/>
    <w:rsid w:val="005A67BA"/>
    <w:rsid w:val="005A69DF"/>
    <w:rsid w:val="005A742D"/>
    <w:rsid w:val="005A779F"/>
    <w:rsid w:val="005A7871"/>
    <w:rsid w:val="005A78B3"/>
    <w:rsid w:val="005A79D2"/>
    <w:rsid w:val="005A7A62"/>
    <w:rsid w:val="005A7B20"/>
    <w:rsid w:val="005A7CBB"/>
    <w:rsid w:val="005B00D3"/>
    <w:rsid w:val="005B0D52"/>
    <w:rsid w:val="005B1164"/>
    <w:rsid w:val="005B1531"/>
    <w:rsid w:val="005B1963"/>
    <w:rsid w:val="005B1E92"/>
    <w:rsid w:val="005B22F9"/>
    <w:rsid w:val="005B25BD"/>
    <w:rsid w:val="005B26E7"/>
    <w:rsid w:val="005B287B"/>
    <w:rsid w:val="005B29D7"/>
    <w:rsid w:val="005B2CC4"/>
    <w:rsid w:val="005B2E83"/>
    <w:rsid w:val="005B35A0"/>
    <w:rsid w:val="005B3740"/>
    <w:rsid w:val="005B3AE7"/>
    <w:rsid w:val="005B3AF0"/>
    <w:rsid w:val="005B4150"/>
    <w:rsid w:val="005B47E5"/>
    <w:rsid w:val="005B4A4C"/>
    <w:rsid w:val="005B4A84"/>
    <w:rsid w:val="005B4D2A"/>
    <w:rsid w:val="005B4D37"/>
    <w:rsid w:val="005B4ECE"/>
    <w:rsid w:val="005B55BE"/>
    <w:rsid w:val="005B55CD"/>
    <w:rsid w:val="005B5AA3"/>
    <w:rsid w:val="005B6331"/>
    <w:rsid w:val="005B68BA"/>
    <w:rsid w:val="005B7153"/>
    <w:rsid w:val="005B7FBD"/>
    <w:rsid w:val="005C0486"/>
    <w:rsid w:val="005C0EA3"/>
    <w:rsid w:val="005C18C0"/>
    <w:rsid w:val="005C1F21"/>
    <w:rsid w:val="005C1F37"/>
    <w:rsid w:val="005C2192"/>
    <w:rsid w:val="005C220F"/>
    <w:rsid w:val="005C26BC"/>
    <w:rsid w:val="005C2901"/>
    <w:rsid w:val="005C29C2"/>
    <w:rsid w:val="005C3092"/>
    <w:rsid w:val="005C30AC"/>
    <w:rsid w:val="005C31BB"/>
    <w:rsid w:val="005C3389"/>
    <w:rsid w:val="005C33BD"/>
    <w:rsid w:val="005C3408"/>
    <w:rsid w:val="005C373D"/>
    <w:rsid w:val="005C38ED"/>
    <w:rsid w:val="005C3BA9"/>
    <w:rsid w:val="005C3BD1"/>
    <w:rsid w:val="005C3D6E"/>
    <w:rsid w:val="005C3DB3"/>
    <w:rsid w:val="005C3F13"/>
    <w:rsid w:val="005C40B3"/>
    <w:rsid w:val="005C4600"/>
    <w:rsid w:val="005C492E"/>
    <w:rsid w:val="005C4B05"/>
    <w:rsid w:val="005C4B31"/>
    <w:rsid w:val="005C4C52"/>
    <w:rsid w:val="005C4DEA"/>
    <w:rsid w:val="005C4E7F"/>
    <w:rsid w:val="005C4EE1"/>
    <w:rsid w:val="005C529D"/>
    <w:rsid w:val="005C54A1"/>
    <w:rsid w:val="005C59E0"/>
    <w:rsid w:val="005C5CA9"/>
    <w:rsid w:val="005C5E6A"/>
    <w:rsid w:val="005C5FC0"/>
    <w:rsid w:val="005C66DC"/>
    <w:rsid w:val="005C6931"/>
    <w:rsid w:val="005C6A04"/>
    <w:rsid w:val="005C6B59"/>
    <w:rsid w:val="005C6C80"/>
    <w:rsid w:val="005C6FC0"/>
    <w:rsid w:val="005C72E7"/>
    <w:rsid w:val="005C7376"/>
    <w:rsid w:val="005C74AC"/>
    <w:rsid w:val="005C7582"/>
    <w:rsid w:val="005C7642"/>
    <w:rsid w:val="005C786F"/>
    <w:rsid w:val="005C7DAB"/>
    <w:rsid w:val="005D07F4"/>
    <w:rsid w:val="005D0B1F"/>
    <w:rsid w:val="005D0D34"/>
    <w:rsid w:val="005D0DC6"/>
    <w:rsid w:val="005D19DF"/>
    <w:rsid w:val="005D1BEE"/>
    <w:rsid w:val="005D2C0C"/>
    <w:rsid w:val="005D2C44"/>
    <w:rsid w:val="005D2CF8"/>
    <w:rsid w:val="005D30E1"/>
    <w:rsid w:val="005D313C"/>
    <w:rsid w:val="005D3639"/>
    <w:rsid w:val="005D41E7"/>
    <w:rsid w:val="005D438C"/>
    <w:rsid w:val="005D4819"/>
    <w:rsid w:val="005D4899"/>
    <w:rsid w:val="005D499A"/>
    <w:rsid w:val="005D49F2"/>
    <w:rsid w:val="005D502E"/>
    <w:rsid w:val="005D53BB"/>
    <w:rsid w:val="005D5BC7"/>
    <w:rsid w:val="005D5EE7"/>
    <w:rsid w:val="005D60CA"/>
    <w:rsid w:val="005D614B"/>
    <w:rsid w:val="005D6205"/>
    <w:rsid w:val="005D6524"/>
    <w:rsid w:val="005D6591"/>
    <w:rsid w:val="005D7580"/>
    <w:rsid w:val="005D7638"/>
    <w:rsid w:val="005D7947"/>
    <w:rsid w:val="005D7C7F"/>
    <w:rsid w:val="005D7C93"/>
    <w:rsid w:val="005D7D2B"/>
    <w:rsid w:val="005E0314"/>
    <w:rsid w:val="005E0C0E"/>
    <w:rsid w:val="005E0CBB"/>
    <w:rsid w:val="005E0F4A"/>
    <w:rsid w:val="005E12E4"/>
    <w:rsid w:val="005E13E1"/>
    <w:rsid w:val="005E1990"/>
    <w:rsid w:val="005E19D6"/>
    <w:rsid w:val="005E1A18"/>
    <w:rsid w:val="005E1E54"/>
    <w:rsid w:val="005E2241"/>
    <w:rsid w:val="005E22DC"/>
    <w:rsid w:val="005E2B30"/>
    <w:rsid w:val="005E3691"/>
    <w:rsid w:val="005E3750"/>
    <w:rsid w:val="005E3F73"/>
    <w:rsid w:val="005E412E"/>
    <w:rsid w:val="005E4407"/>
    <w:rsid w:val="005E44AD"/>
    <w:rsid w:val="005E45A7"/>
    <w:rsid w:val="005E4CE2"/>
    <w:rsid w:val="005E5407"/>
    <w:rsid w:val="005E574F"/>
    <w:rsid w:val="005E5921"/>
    <w:rsid w:val="005E5939"/>
    <w:rsid w:val="005E6C03"/>
    <w:rsid w:val="005E6D5A"/>
    <w:rsid w:val="005E6DBC"/>
    <w:rsid w:val="005E6DE6"/>
    <w:rsid w:val="005E6E64"/>
    <w:rsid w:val="005E7364"/>
    <w:rsid w:val="005E73A0"/>
    <w:rsid w:val="005E7917"/>
    <w:rsid w:val="005E7B93"/>
    <w:rsid w:val="005F013D"/>
    <w:rsid w:val="005F0980"/>
    <w:rsid w:val="005F1722"/>
    <w:rsid w:val="005F1778"/>
    <w:rsid w:val="005F1921"/>
    <w:rsid w:val="005F1959"/>
    <w:rsid w:val="005F1AB8"/>
    <w:rsid w:val="005F1B87"/>
    <w:rsid w:val="005F1C0F"/>
    <w:rsid w:val="005F1F7B"/>
    <w:rsid w:val="005F1FF4"/>
    <w:rsid w:val="005F2CB4"/>
    <w:rsid w:val="005F309D"/>
    <w:rsid w:val="005F3257"/>
    <w:rsid w:val="005F3499"/>
    <w:rsid w:val="005F3666"/>
    <w:rsid w:val="005F3C31"/>
    <w:rsid w:val="005F3D03"/>
    <w:rsid w:val="005F4153"/>
    <w:rsid w:val="005F4338"/>
    <w:rsid w:val="005F44CA"/>
    <w:rsid w:val="005F4766"/>
    <w:rsid w:val="005F4F22"/>
    <w:rsid w:val="005F4F4C"/>
    <w:rsid w:val="005F51DD"/>
    <w:rsid w:val="005F5254"/>
    <w:rsid w:val="005F5458"/>
    <w:rsid w:val="005F55D9"/>
    <w:rsid w:val="005F5722"/>
    <w:rsid w:val="005F61E8"/>
    <w:rsid w:val="005F643A"/>
    <w:rsid w:val="005F687D"/>
    <w:rsid w:val="005F6B30"/>
    <w:rsid w:val="005F6C97"/>
    <w:rsid w:val="005F72E5"/>
    <w:rsid w:val="005F7AB1"/>
    <w:rsid w:val="005F7AD9"/>
    <w:rsid w:val="006000B4"/>
    <w:rsid w:val="00600E9B"/>
    <w:rsid w:val="00601600"/>
    <w:rsid w:val="006024DC"/>
    <w:rsid w:val="006026D8"/>
    <w:rsid w:val="006027FE"/>
    <w:rsid w:val="00602C75"/>
    <w:rsid w:val="00602EE9"/>
    <w:rsid w:val="0060303D"/>
    <w:rsid w:val="00603188"/>
    <w:rsid w:val="0060327E"/>
    <w:rsid w:val="0060334E"/>
    <w:rsid w:val="0060355F"/>
    <w:rsid w:val="006038B4"/>
    <w:rsid w:val="00603D01"/>
    <w:rsid w:val="00604297"/>
    <w:rsid w:val="00604787"/>
    <w:rsid w:val="00604A7A"/>
    <w:rsid w:val="006051A6"/>
    <w:rsid w:val="006052B2"/>
    <w:rsid w:val="006054C5"/>
    <w:rsid w:val="00605EA7"/>
    <w:rsid w:val="00606278"/>
    <w:rsid w:val="0060656B"/>
    <w:rsid w:val="006066D1"/>
    <w:rsid w:val="0060691D"/>
    <w:rsid w:val="00606E41"/>
    <w:rsid w:val="00607178"/>
    <w:rsid w:val="006072F9"/>
    <w:rsid w:val="0060739B"/>
    <w:rsid w:val="006075D1"/>
    <w:rsid w:val="00607D28"/>
    <w:rsid w:val="00607D66"/>
    <w:rsid w:val="00607F03"/>
    <w:rsid w:val="00610015"/>
    <w:rsid w:val="00610297"/>
    <w:rsid w:val="0061087C"/>
    <w:rsid w:val="00610E3B"/>
    <w:rsid w:val="00610F37"/>
    <w:rsid w:val="006112CD"/>
    <w:rsid w:val="00611509"/>
    <w:rsid w:val="00611A73"/>
    <w:rsid w:val="00611D8F"/>
    <w:rsid w:val="00611F45"/>
    <w:rsid w:val="006122BF"/>
    <w:rsid w:val="0061293D"/>
    <w:rsid w:val="0061299E"/>
    <w:rsid w:val="006129FA"/>
    <w:rsid w:val="00612CA7"/>
    <w:rsid w:val="00612FC4"/>
    <w:rsid w:val="0061308B"/>
    <w:rsid w:val="006131C9"/>
    <w:rsid w:val="00613877"/>
    <w:rsid w:val="00613983"/>
    <w:rsid w:val="006143FE"/>
    <w:rsid w:val="00614442"/>
    <w:rsid w:val="006147E1"/>
    <w:rsid w:val="00614918"/>
    <w:rsid w:val="00614BA2"/>
    <w:rsid w:val="0061538B"/>
    <w:rsid w:val="00615622"/>
    <w:rsid w:val="00615702"/>
    <w:rsid w:val="00615AE5"/>
    <w:rsid w:val="00615C6C"/>
    <w:rsid w:val="00615CCD"/>
    <w:rsid w:val="00615E40"/>
    <w:rsid w:val="00615F59"/>
    <w:rsid w:val="006161E5"/>
    <w:rsid w:val="00616485"/>
    <w:rsid w:val="006164D0"/>
    <w:rsid w:val="0061663A"/>
    <w:rsid w:val="00617ACF"/>
    <w:rsid w:val="00617ED5"/>
    <w:rsid w:val="006204D4"/>
    <w:rsid w:val="00620595"/>
    <w:rsid w:val="00621273"/>
    <w:rsid w:val="006212DA"/>
    <w:rsid w:val="006214B7"/>
    <w:rsid w:val="006214DA"/>
    <w:rsid w:val="006219CD"/>
    <w:rsid w:val="00621C3C"/>
    <w:rsid w:val="00621D55"/>
    <w:rsid w:val="006220B2"/>
    <w:rsid w:val="00622194"/>
    <w:rsid w:val="006228A5"/>
    <w:rsid w:val="00622AE5"/>
    <w:rsid w:val="00623521"/>
    <w:rsid w:val="0062362A"/>
    <w:rsid w:val="00624834"/>
    <w:rsid w:val="0062494E"/>
    <w:rsid w:val="00624A33"/>
    <w:rsid w:val="00624CA1"/>
    <w:rsid w:val="00624CAD"/>
    <w:rsid w:val="00624D7F"/>
    <w:rsid w:val="00624F34"/>
    <w:rsid w:val="0062527D"/>
    <w:rsid w:val="00625A04"/>
    <w:rsid w:val="00626078"/>
    <w:rsid w:val="00626490"/>
    <w:rsid w:val="00626501"/>
    <w:rsid w:val="006265EE"/>
    <w:rsid w:val="006267C4"/>
    <w:rsid w:val="00626BD7"/>
    <w:rsid w:val="00626CAB"/>
    <w:rsid w:val="0062780E"/>
    <w:rsid w:val="006279E9"/>
    <w:rsid w:val="00627C27"/>
    <w:rsid w:val="00627CF1"/>
    <w:rsid w:val="00627DF5"/>
    <w:rsid w:val="0063018C"/>
    <w:rsid w:val="0063050E"/>
    <w:rsid w:val="00630666"/>
    <w:rsid w:val="00630CB4"/>
    <w:rsid w:val="00630CB9"/>
    <w:rsid w:val="00630D60"/>
    <w:rsid w:val="00630F1A"/>
    <w:rsid w:val="0063104D"/>
    <w:rsid w:val="00631C58"/>
    <w:rsid w:val="00631C89"/>
    <w:rsid w:val="00631CC7"/>
    <w:rsid w:val="0063211F"/>
    <w:rsid w:val="00632402"/>
    <w:rsid w:val="006326EE"/>
    <w:rsid w:val="00632B56"/>
    <w:rsid w:val="00632DC7"/>
    <w:rsid w:val="00632DF9"/>
    <w:rsid w:val="00632FA1"/>
    <w:rsid w:val="00632FFF"/>
    <w:rsid w:val="00633BBF"/>
    <w:rsid w:val="00633D66"/>
    <w:rsid w:val="00633E33"/>
    <w:rsid w:val="006340E0"/>
    <w:rsid w:val="006342E3"/>
    <w:rsid w:val="0063440A"/>
    <w:rsid w:val="00634A0F"/>
    <w:rsid w:val="00634B60"/>
    <w:rsid w:val="00634C90"/>
    <w:rsid w:val="00634EF9"/>
    <w:rsid w:val="00635393"/>
    <w:rsid w:val="0063542C"/>
    <w:rsid w:val="006354D7"/>
    <w:rsid w:val="0063557F"/>
    <w:rsid w:val="006356CF"/>
    <w:rsid w:val="00635A7A"/>
    <w:rsid w:val="0063601A"/>
    <w:rsid w:val="00636042"/>
    <w:rsid w:val="00636235"/>
    <w:rsid w:val="006362A2"/>
    <w:rsid w:val="00636FA6"/>
    <w:rsid w:val="00636FDC"/>
    <w:rsid w:val="00637132"/>
    <w:rsid w:val="00637190"/>
    <w:rsid w:val="00637F77"/>
    <w:rsid w:val="00640134"/>
    <w:rsid w:val="00640766"/>
    <w:rsid w:val="006408B1"/>
    <w:rsid w:val="006410E3"/>
    <w:rsid w:val="006411BB"/>
    <w:rsid w:val="0064191F"/>
    <w:rsid w:val="00641CD7"/>
    <w:rsid w:val="0064236E"/>
    <w:rsid w:val="00642F0A"/>
    <w:rsid w:val="006433BC"/>
    <w:rsid w:val="00643592"/>
    <w:rsid w:val="006435BC"/>
    <w:rsid w:val="0064363C"/>
    <w:rsid w:val="0064392E"/>
    <w:rsid w:val="00643FD7"/>
    <w:rsid w:val="0064415D"/>
    <w:rsid w:val="006441E5"/>
    <w:rsid w:val="006444BE"/>
    <w:rsid w:val="00644586"/>
    <w:rsid w:val="00644ACF"/>
    <w:rsid w:val="00644DB0"/>
    <w:rsid w:val="006451EB"/>
    <w:rsid w:val="006455F7"/>
    <w:rsid w:val="006456CA"/>
    <w:rsid w:val="00645AA8"/>
    <w:rsid w:val="00645B35"/>
    <w:rsid w:val="00646078"/>
    <w:rsid w:val="00646420"/>
    <w:rsid w:val="0064670B"/>
    <w:rsid w:val="0064687E"/>
    <w:rsid w:val="006468E7"/>
    <w:rsid w:val="00646A1E"/>
    <w:rsid w:val="00647BFD"/>
    <w:rsid w:val="00647CB3"/>
    <w:rsid w:val="00647DA5"/>
    <w:rsid w:val="0065002B"/>
    <w:rsid w:val="00650140"/>
    <w:rsid w:val="0065072C"/>
    <w:rsid w:val="00650C11"/>
    <w:rsid w:val="0065150F"/>
    <w:rsid w:val="00651CA9"/>
    <w:rsid w:val="0065252A"/>
    <w:rsid w:val="00652948"/>
    <w:rsid w:val="00652AFE"/>
    <w:rsid w:val="00652BDF"/>
    <w:rsid w:val="00653593"/>
    <w:rsid w:val="00653793"/>
    <w:rsid w:val="00653A49"/>
    <w:rsid w:val="00653C72"/>
    <w:rsid w:val="00654000"/>
    <w:rsid w:val="006544AC"/>
    <w:rsid w:val="006548C4"/>
    <w:rsid w:val="00654C4A"/>
    <w:rsid w:val="0065528C"/>
    <w:rsid w:val="0065562E"/>
    <w:rsid w:val="006556D2"/>
    <w:rsid w:val="00655AF0"/>
    <w:rsid w:val="00655D84"/>
    <w:rsid w:val="00655ECC"/>
    <w:rsid w:val="00656003"/>
    <w:rsid w:val="006563EC"/>
    <w:rsid w:val="00656A8C"/>
    <w:rsid w:val="00656D09"/>
    <w:rsid w:val="00656D66"/>
    <w:rsid w:val="00656F30"/>
    <w:rsid w:val="006572F2"/>
    <w:rsid w:val="006574B4"/>
    <w:rsid w:val="0065752A"/>
    <w:rsid w:val="00660230"/>
    <w:rsid w:val="006609B3"/>
    <w:rsid w:val="00660D01"/>
    <w:rsid w:val="00660D16"/>
    <w:rsid w:val="00660F2D"/>
    <w:rsid w:val="00661A7B"/>
    <w:rsid w:val="00661CD3"/>
    <w:rsid w:val="00662E6E"/>
    <w:rsid w:val="00662F86"/>
    <w:rsid w:val="00663211"/>
    <w:rsid w:val="006634F9"/>
    <w:rsid w:val="00664680"/>
    <w:rsid w:val="00664693"/>
    <w:rsid w:val="006647C6"/>
    <w:rsid w:val="006649E8"/>
    <w:rsid w:val="00664C5A"/>
    <w:rsid w:val="00664D0B"/>
    <w:rsid w:val="006652C6"/>
    <w:rsid w:val="0066540C"/>
    <w:rsid w:val="00665772"/>
    <w:rsid w:val="00665CD9"/>
    <w:rsid w:val="006660D7"/>
    <w:rsid w:val="00666B69"/>
    <w:rsid w:val="00667586"/>
    <w:rsid w:val="006675BB"/>
    <w:rsid w:val="0066791D"/>
    <w:rsid w:val="00667E6B"/>
    <w:rsid w:val="006701B3"/>
    <w:rsid w:val="00670308"/>
    <w:rsid w:val="00670381"/>
    <w:rsid w:val="0067078D"/>
    <w:rsid w:val="00671693"/>
    <w:rsid w:val="006718DD"/>
    <w:rsid w:val="0067198B"/>
    <w:rsid w:val="00671A56"/>
    <w:rsid w:val="00671DAD"/>
    <w:rsid w:val="00671DDF"/>
    <w:rsid w:val="006720D6"/>
    <w:rsid w:val="00672245"/>
    <w:rsid w:val="00672303"/>
    <w:rsid w:val="00672716"/>
    <w:rsid w:val="00672831"/>
    <w:rsid w:val="0067291D"/>
    <w:rsid w:val="00672C3E"/>
    <w:rsid w:val="00672DDE"/>
    <w:rsid w:val="00672E90"/>
    <w:rsid w:val="00672EE3"/>
    <w:rsid w:val="00672FCE"/>
    <w:rsid w:val="006735A9"/>
    <w:rsid w:val="006736A8"/>
    <w:rsid w:val="00673999"/>
    <w:rsid w:val="00673AB2"/>
    <w:rsid w:val="00674223"/>
    <w:rsid w:val="0067426C"/>
    <w:rsid w:val="0067454B"/>
    <w:rsid w:val="006746F2"/>
    <w:rsid w:val="00674AB7"/>
    <w:rsid w:val="00674CC3"/>
    <w:rsid w:val="006753E0"/>
    <w:rsid w:val="006754A8"/>
    <w:rsid w:val="00675750"/>
    <w:rsid w:val="00675C1F"/>
    <w:rsid w:val="00675E81"/>
    <w:rsid w:val="00676099"/>
    <w:rsid w:val="006761DB"/>
    <w:rsid w:val="006761E9"/>
    <w:rsid w:val="00676B18"/>
    <w:rsid w:val="00677180"/>
    <w:rsid w:val="006773C8"/>
    <w:rsid w:val="00677529"/>
    <w:rsid w:val="0067798F"/>
    <w:rsid w:val="00677A1A"/>
    <w:rsid w:val="00677CA5"/>
    <w:rsid w:val="00677F2E"/>
    <w:rsid w:val="006804EA"/>
    <w:rsid w:val="00680D11"/>
    <w:rsid w:val="00681297"/>
    <w:rsid w:val="006815AC"/>
    <w:rsid w:val="00681C66"/>
    <w:rsid w:val="00681CE4"/>
    <w:rsid w:val="0068204A"/>
    <w:rsid w:val="0068208A"/>
    <w:rsid w:val="006820EE"/>
    <w:rsid w:val="00682149"/>
    <w:rsid w:val="00682208"/>
    <w:rsid w:val="00682398"/>
    <w:rsid w:val="00682A79"/>
    <w:rsid w:val="00682BDB"/>
    <w:rsid w:val="00683196"/>
    <w:rsid w:val="00683349"/>
    <w:rsid w:val="00683433"/>
    <w:rsid w:val="0068347C"/>
    <w:rsid w:val="006835AE"/>
    <w:rsid w:val="00683882"/>
    <w:rsid w:val="00683C66"/>
    <w:rsid w:val="00683EE3"/>
    <w:rsid w:val="00684344"/>
    <w:rsid w:val="006849AB"/>
    <w:rsid w:val="00684A54"/>
    <w:rsid w:val="00684B4C"/>
    <w:rsid w:val="00684E53"/>
    <w:rsid w:val="0068519F"/>
    <w:rsid w:val="006851FD"/>
    <w:rsid w:val="00685276"/>
    <w:rsid w:val="006854D8"/>
    <w:rsid w:val="00685ADC"/>
    <w:rsid w:val="00685B2B"/>
    <w:rsid w:val="00685CB6"/>
    <w:rsid w:val="00685F8E"/>
    <w:rsid w:val="006864EC"/>
    <w:rsid w:val="00686505"/>
    <w:rsid w:val="00686655"/>
    <w:rsid w:val="00686709"/>
    <w:rsid w:val="00686D23"/>
    <w:rsid w:val="00687363"/>
    <w:rsid w:val="00687C15"/>
    <w:rsid w:val="00687E05"/>
    <w:rsid w:val="006900CA"/>
    <w:rsid w:val="00690476"/>
    <w:rsid w:val="00690C09"/>
    <w:rsid w:val="00690D58"/>
    <w:rsid w:val="00690E99"/>
    <w:rsid w:val="00691E3E"/>
    <w:rsid w:val="006920D2"/>
    <w:rsid w:val="006921D2"/>
    <w:rsid w:val="00692257"/>
    <w:rsid w:val="00692789"/>
    <w:rsid w:val="00692A31"/>
    <w:rsid w:val="00692AF0"/>
    <w:rsid w:val="00692B1E"/>
    <w:rsid w:val="00692E5C"/>
    <w:rsid w:val="006931F9"/>
    <w:rsid w:val="00693292"/>
    <w:rsid w:val="0069332D"/>
    <w:rsid w:val="00693397"/>
    <w:rsid w:val="00693589"/>
    <w:rsid w:val="0069373E"/>
    <w:rsid w:val="00693A97"/>
    <w:rsid w:val="00693F1F"/>
    <w:rsid w:val="006942BC"/>
    <w:rsid w:val="0069498D"/>
    <w:rsid w:val="00694ACE"/>
    <w:rsid w:val="00694FC5"/>
    <w:rsid w:val="00694FE4"/>
    <w:rsid w:val="00695215"/>
    <w:rsid w:val="006952BC"/>
    <w:rsid w:val="00695A5E"/>
    <w:rsid w:val="00695E93"/>
    <w:rsid w:val="006960AB"/>
    <w:rsid w:val="006964B2"/>
    <w:rsid w:val="00696B37"/>
    <w:rsid w:val="00697179"/>
    <w:rsid w:val="0069720F"/>
    <w:rsid w:val="0069777D"/>
    <w:rsid w:val="006978AC"/>
    <w:rsid w:val="006A030A"/>
    <w:rsid w:val="006A0F57"/>
    <w:rsid w:val="006A1291"/>
    <w:rsid w:val="006A13CB"/>
    <w:rsid w:val="006A1660"/>
    <w:rsid w:val="006A1EB2"/>
    <w:rsid w:val="006A209B"/>
    <w:rsid w:val="006A219F"/>
    <w:rsid w:val="006A2366"/>
    <w:rsid w:val="006A27F4"/>
    <w:rsid w:val="006A2C08"/>
    <w:rsid w:val="006A3452"/>
    <w:rsid w:val="006A3588"/>
    <w:rsid w:val="006A3610"/>
    <w:rsid w:val="006A36F7"/>
    <w:rsid w:val="006A3C22"/>
    <w:rsid w:val="006A4292"/>
    <w:rsid w:val="006A4622"/>
    <w:rsid w:val="006A4923"/>
    <w:rsid w:val="006A4969"/>
    <w:rsid w:val="006A4A6A"/>
    <w:rsid w:val="006A4CC0"/>
    <w:rsid w:val="006A54FC"/>
    <w:rsid w:val="006A5C13"/>
    <w:rsid w:val="006A6042"/>
    <w:rsid w:val="006A609D"/>
    <w:rsid w:val="006A6111"/>
    <w:rsid w:val="006A6887"/>
    <w:rsid w:val="006A6B8C"/>
    <w:rsid w:val="006A6C4B"/>
    <w:rsid w:val="006A6C59"/>
    <w:rsid w:val="006A74AA"/>
    <w:rsid w:val="006A74CE"/>
    <w:rsid w:val="006A7665"/>
    <w:rsid w:val="006A772E"/>
    <w:rsid w:val="006A792C"/>
    <w:rsid w:val="006B00AE"/>
    <w:rsid w:val="006B0127"/>
    <w:rsid w:val="006B04DC"/>
    <w:rsid w:val="006B0587"/>
    <w:rsid w:val="006B0792"/>
    <w:rsid w:val="006B0B37"/>
    <w:rsid w:val="006B1939"/>
    <w:rsid w:val="006B1FC8"/>
    <w:rsid w:val="006B263A"/>
    <w:rsid w:val="006B265A"/>
    <w:rsid w:val="006B2D23"/>
    <w:rsid w:val="006B2EE6"/>
    <w:rsid w:val="006B32C7"/>
    <w:rsid w:val="006B3438"/>
    <w:rsid w:val="006B3732"/>
    <w:rsid w:val="006B383E"/>
    <w:rsid w:val="006B3C50"/>
    <w:rsid w:val="006B3F2D"/>
    <w:rsid w:val="006B4213"/>
    <w:rsid w:val="006B4B78"/>
    <w:rsid w:val="006B4BE4"/>
    <w:rsid w:val="006B4D17"/>
    <w:rsid w:val="006B4F74"/>
    <w:rsid w:val="006B5329"/>
    <w:rsid w:val="006B5E22"/>
    <w:rsid w:val="006B5E7C"/>
    <w:rsid w:val="006B5ED5"/>
    <w:rsid w:val="006B6235"/>
    <w:rsid w:val="006B62D9"/>
    <w:rsid w:val="006B634A"/>
    <w:rsid w:val="006B6ABB"/>
    <w:rsid w:val="006B6C50"/>
    <w:rsid w:val="006B6DAD"/>
    <w:rsid w:val="006B6F50"/>
    <w:rsid w:val="006B70A4"/>
    <w:rsid w:val="006B7155"/>
    <w:rsid w:val="006B752E"/>
    <w:rsid w:val="006B7AAF"/>
    <w:rsid w:val="006B7BD0"/>
    <w:rsid w:val="006B7C1F"/>
    <w:rsid w:val="006B7D88"/>
    <w:rsid w:val="006C04FD"/>
    <w:rsid w:val="006C0F18"/>
    <w:rsid w:val="006C12E2"/>
    <w:rsid w:val="006C13C9"/>
    <w:rsid w:val="006C1411"/>
    <w:rsid w:val="006C14CC"/>
    <w:rsid w:val="006C183B"/>
    <w:rsid w:val="006C1A23"/>
    <w:rsid w:val="006C1CE0"/>
    <w:rsid w:val="006C1E3D"/>
    <w:rsid w:val="006C2025"/>
    <w:rsid w:val="006C2264"/>
    <w:rsid w:val="006C2508"/>
    <w:rsid w:val="006C2660"/>
    <w:rsid w:val="006C26FB"/>
    <w:rsid w:val="006C2709"/>
    <w:rsid w:val="006C2A7D"/>
    <w:rsid w:val="006C2AE3"/>
    <w:rsid w:val="006C2F2F"/>
    <w:rsid w:val="006C300E"/>
    <w:rsid w:val="006C3017"/>
    <w:rsid w:val="006C3143"/>
    <w:rsid w:val="006C3658"/>
    <w:rsid w:val="006C3735"/>
    <w:rsid w:val="006C3AE6"/>
    <w:rsid w:val="006C3D40"/>
    <w:rsid w:val="006C41FD"/>
    <w:rsid w:val="006C4498"/>
    <w:rsid w:val="006C4654"/>
    <w:rsid w:val="006C48D9"/>
    <w:rsid w:val="006C499D"/>
    <w:rsid w:val="006C4A7C"/>
    <w:rsid w:val="006C51D0"/>
    <w:rsid w:val="006C57DA"/>
    <w:rsid w:val="006C5A64"/>
    <w:rsid w:val="006C5B13"/>
    <w:rsid w:val="006C5D29"/>
    <w:rsid w:val="006C5FDF"/>
    <w:rsid w:val="006C61E6"/>
    <w:rsid w:val="006C6425"/>
    <w:rsid w:val="006C64DB"/>
    <w:rsid w:val="006C6759"/>
    <w:rsid w:val="006C6B21"/>
    <w:rsid w:val="006C6CDA"/>
    <w:rsid w:val="006C71D0"/>
    <w:rsid w:val="006C79ED"/>
    <w:rsid w:val="006D0045"/>
    <w:rsid w:val="006D0783"/>
    <w:rsid w:val="006D090B"/>
    <w:rsid w:val="006D0BA3"/>
    <w:rsid w:val="006D0E0E"/>
    <w:rsid w:val="006D0F5D"/>
    <w:rsid w:val="006D0F6B"/>
    <w:rsid w:val="006D107A"/>
    <w:rsid w:val="006D1839"/>
    <w:rsid w:val="006D1A77"/>
    <w:rsid w:val="006D1BCC"/>
    <w:rsid w:val="006D1BDF"/>
    <w:rsid w:val="006D1FC0"/>
    <w:rsid w:val="006D1FE1"/>
    <w:rsid w:val="006D2A0D"/>
    <w:rsid w:val="006D2BB1"/>
    <w:rsid w:val="006D3254"/>
    <w:rsid w:val="006D359A"/>
    <w:rsid w:val="006D39E4"/>
    <w:rsid w:val="006D3B92"/>
    <w:rsid w:val="006D3BFF"/>
    <w:rsid w:val="006D4005"/>
    <w:rsid w:val="006D424E"/>
    <w:rsid w:val="006D4277"/>
    <w:rsid w:val="006D432F"/>
    <w:rsid w:val="006D4507"/>
    <w:rsid w:val="006D4534"/>
    <w:rsid w:val="006D45A5"/>
    <w:rsid w:val="006D4678"/>
    <w:rsid w:val="006D4CF0"/>
    <w:rsid w:val="006D4D55"/>
    <w:rsid w:val="006D50FC"/>
    <w:rsid w:val="006D5189"/>
    <w:rsid w:val="006D5263"/>
    <w:rsid w:val="006D57A5"/>
    <w:rsid w:val="006D58DB"/>
    <w:rsid w:val="006D5910"/>
    <w:rsid w:val="006D5B5A"/>
    <w:rsid w:val="006D5EB7"/>
    <w:rsid w:val="006D60FC"/>
    <w:rsid w:val="006D65BE"/>
    <w:rsid w:val="006D7046"/>
    <w:rsid w:val="006D7ABE"/>
    <w:rsid w:val="006D7AD3"/>
    <w:rsid w:val="006D7C60"/>
    <w:rsid w:val="006E0427"/>
    <w:rsid w:val="006E0B14"/>
    <w:rsid w:val="006E0DC4"/>
    <w:rsid w:val="006E14B7"/>
    <w:rsid w:val="006E19F9"/>
    <w:rsid w:val="006E1E3E"/>
    <w:rsid w:val="006E1F98"/>
    <w:rsid w:val="006E20A1"/>
    <w:rsid w:val="006E2189"/>
    <w:rsid w:val="006E2347"/>
    <w:rsid w:val="006E2A08"/>
    <w:rsid w:val="006E2A55"/>
    <w:rsid w:val="006E2B77"/>
    <w:rsid w:val="006E2BA8"/>
    <w:rsid w:val="006E2E34"/>
    <w:rsid w:val="006E3458"/>
    <w:rsid w:val="006E3534"/>
    <w:rsid w:val="006E3D5D"/>
    <w:rsid w:val="006E3EC8"/>
    <w:rsid w:val="006E4070"/>
    <w:rsid w:val="006E46CB"/>
    <w:rsid w:val="006E483D"/>
    <w:rsid w:val="006E48D5"/>
    <w:rsid w:val="006E48E4"/>
    <w:rsid w:val="006E4968"/>
    <w:rsid w:val="006E4973"/>
    <w:rsid w:val="006E4DE0"/>
    <w:rsid w:val="006E5D46"/>
    <w:rsid w:val="006E6203"/>
    <w:rsid w:val="006E6251"/>
    <w:rsid w:val="006E62E0"/>
    <w:rsid w:val="006E6396"/>
    <w:rsid w:val="006E646C"/>
    <w:rsid w:val="006E6615"/>
    <w:rsid w:val="006E6A70"/>
    <w:rsid w:val="006E6C53"/>
    <w:rsid w:val="006E6E9A"/>
    <w:rsid w:val="006E7F95"/>
    <w:rsid w:val="006F0168"/>
    <w:rsid w:val="006F03BC"/>
    <w:rsid w:val="006F03E3"/>
    <w:rsid w:val="006F05CB"/>
    <w:rsid w:val="006F05E3"/>
    <w:rsid w:val="006F080D"/>
    <w:rsid w:val="006F099C"/>
    <w:rsid w:val="006F1413"/>
    <w:rsid w:val="006F1642"/>
    <w:rsid w:val="006F1922"/>
    <w:rsid w:val="006F1A72"/>
    <w:rsid w:val="006F1C3A"/>
    <w:rsid w:val="006F27B2"/>
    <w:rsid w:val="006F281E"/>
    <w:rsid w:val="006F2F1C"/>
    <w:rsid w:val="006F328D"/>
    <w:rsid w:val="006F3432"/>
    <w:rsid w:val="006F3C8F"/>
    <w:rsid w:val="006F4204"/>
    <w:rsid w:val="006F4269"/>
    <w:rsid w:val="006F4BF7"/>
    <w:rsid w:val="006F509D"/>
    <w:rsid w:val="006F50E1"/>
    <w:rsid w:val="006F52FA"/>
    <w:rsid w:val="006F53FC"/>
    <w:rsid w:val="006F5491"/>
    <w:rsid w:val="006F5599"/>
    <w:rsid w:val="006F57D0"/>
    <w:rsid w:val="006F5DB6"/>
    <w:rsid w:val="006F64F4"/>
    <w:rsid w:val="006F682E"/>
    <w:rsid w:val="006F7091"/>
    <w:rsid w:val="006F7480"/>
    <w:rsid w:val="006F788D"/>
    <w:rsid w:val="006F7C9A"/>
    <w:rsid w:val="0070036F"/>
    <w:rsid w:val="007003F5"/>
    <w:rsid w:val="007006FD"/>
    <w:rsid w:val="00700974"/>
    <w:rsid w:val="007009D8"/>
    <w:rsid w:val="00701002"/>
    <w:rsid w:val="007010DA"/>
    <w:rsid w:val="00701605"/>
    <w:rsid w:val="00701867"/>
    <w:rsid w:val="00701A9C"/>
    <w:rsid w:val="007024B2"/>
    <w:rsid w:val="00702626"/>
    <w:rsid w:val="00702701"/>
    <w:rsid w:val="0070311F"/>
    <w:rsid w:val="00703295"/>
    <w:rsid w:val="00703850"/>
    <w:rsid w:val="007043FF"/>
    <w:rsid w:val="0070536C"/>
    <w:rsid w:val="00705573"/>
    <w:rsid w:val="0070565E"/>
    <w:rsid w:val="00705926"/>
    <w:rsid w:val="00705962"/>
    <w:rsid w:val="0070596B"/>
    <w:rsid w:val="00705ABA"/>
    <w:rsid w:val="00705DCA"/>
    <w:rsid w:val="0070615C"/>
    <w:rsid w:val="00706B71"/>
    <w:rsid w:val="00706C88"/>
    <w:rsid w:val="00706D54"/>
    <w:rsid w:val="00706E32"/>
    <w:rsid w:val="007071E3"/>
    <w:rsid w:val="00707343"/>
    <w:rsid w:val="007103E7"/>
    <w:rsid w:val="0071061F"/>
    <w:rsid w:val="0071063B"/>
    <w:rsid w:val="007106B6"/>
    <w:rsid w:val="00710A46"/>
    <w:rsid w:val="00710A73"/>
    <w:rsid w:val="00710D8F"/>
    <w:rsid w:val="00710DE8"/>
    <w:rsid w:val="0071193C"/>
    <w:rsid w:val="00712038"/>
    <w:rsid w:val="00712250"/>
    <w:rsid w:val="00712DAC"/>
    <w:rsid w:val="00712F4D"/>
    <w:rsid w:val="0071307B"/>
    <w:rsid w:val="007131E2"/>
    <w:rsid w:val="007137E2"/>
    <w:rsid w:val="00713D18"/>
    <w:rsid w:val="00713FED"/>
    <w:rsid w:val="00714365"/>
    <w:rsid w:val="00714415"/>
    <w:rsid w:val="0071475A"/>
    <w:rsid w:val="00714C82"/>
    <w:rsid w:val="00714E13"/>
    <w:rsid w:val="0071545B"/>
    <w:rsid w:val="00715956"/>
    <w:rsid w:val="00715DFA"/>
    <w:rsid w:val="0071607D"/>
    <w:rsid w:val="0071632E"/>
    <w:rsid w:val="007164CC"/>
    <w:rsid w:val="00716921"/>
    <w:rsid w:val="00716AFA"/>
    <w:rsid w:val="00716D02"/>
    <w:rsid w:val="007172F8"/>
    <w:rsid w:val="00717624"/>
    <w:rsid w:val="0071767D"/>
    <w:rsid w:val="007177BE"/>
    <w:rsid w:val="00717FD3"/>
    <w:rsid w:val="0072001C"/>
    <w:rsid w:val="0072024A"/>
    <w:rsid w:val="007202FF"/>
    <w:rsid w:val="007205B5"/>
    <w:rsid w:val="007207F0"/>
    <w:rsid w:val="0072098D"/>
    <w:rsid w:val="00720DF7"/>
    <w:rsid w:val="00720EDE"/>
    <w:rsid w:val="007216CF"/>
    <w:rsid w:val="00721798"/>
    <w:rsid w:val="0072221B"/>
    <w:rsid w:val="00722260"/>
    <w:rsid w:val="007223C2"/>
    <w:rsid w:val="00723015"/>
    <w:rsid w:val="007246B2"/>
    <w:rsid w:val="007249F3"/>
    <w:rsid w:val="007252A3"/>
    <w:rsid w:val="007269EE"/>
    <w:rsid w:val="00726F61"/>
    <w:rsid w:val="00727413"/>
    <w:rsid w:val="00727B30"/>
    <w:rsid w:val="0073006D"/>
    <w:rsid w:val="007305D8"/>
    <w:rsid w:val="00730615"/>
    <w:rsid w:val="00730620"/>
    <w:rsid w:val="00730906"/>
    <w:rsid w:val="00730A3A"/>
    <w:rsid w:val="00730BF3"/>
    <w:rsid w:val="00730D28"/>
    <w:rsid w:val="0073116B"/>
    <w:rsid w:val="007312AA"/>
    <w:rsid w:val="00731C9A"/>
    <w:rsid w:val="00732153"/>
    <w:rsid w:val="00732262"/>
    <w:rsid w:val="0073260A"/>
    <w:rsid w:val="00732A76"/>
    <w:rsid w:val="00732AFE"/>
    <w:rsid w:val="00732D0E"/>
    <w:rsid w:val="00732EA9"/>
    <w:rsid w:val="00733FBE"/>
    <w:rsid w:val="007346AB"/>
    <w:rsid w:val="0073482D"/>
    <w:rsid w:val="00734B3B"/>
    <w:rsid w:val="00734F3D"/>
    <w:rsid w:val="00734FBF"/>
    <w:rsid w:val="0073548F"/>
    <w:rsid w:val="007357B2"/>
    <w:rsid w:val="00735CB5"/>
    <w:rsid w:val="00736316"/>
    <w:rsid w:val="00736569"/>
    <w:rsid w:val="007365FE"/>
    <w:rsid w:val="007369E6"/>
    <w:rsid w:val="00736D51"/>
    <w:rsid w:val="0073741E"/>
    <w:rsid w:val="007374A6"/>
    <w:rsid w:val="0073774C"/>
    <w:rsid w:val="00737837"/>
    <w:rsid w:val="00737957"/>
    <w:rsid w:val="00740126"/>
    <w:rsid w:val="00740A8C"/>
    <w:rsid w:val="00740B8C"/>
    <w:rsid w:val="00741176"/>
    <w:rsid w:val="007411AE"/>
    <w:rsid w:val="007412F9"/>
    <w:rsid w:val="00741FA7"/>
    <w:rsid w:val="00743CA3"/>
    <w:rsid w:val="00743CD9"/>
    <w:rsid w:val="00744242"/>
    <w:rsid w:val="007443A7"/>
    <w:rsid w:val="00744457"/>
    <w:rsid w:val="00744508"/>
    <w:rsid w:val="00744532"/>
    <w:rsid w:val="00744B15"/>
    <w:rsid w:val="00744DAB"/>
    <w:rsid w:val="007453AA"/>
    <w:rsid w:val="00745BDF"/>
    <w:rsid w:val="00745E0D"/>
    <w:rsid w:val="0074651F"/>
    <w:rsid w:val="00746555"/>
    <w:rsid w:val="0074658B"/>
    <w:rsid w:val="007469E1"/>
    <w:rsid w:val="00746EA4"/>
    <w:rsid w:val="00747095"/>
    <w:rsid w:val="007476AC"/>
    <w:rsid w:val="0074785F"/>
    <w:rsid w:val="007479AA"/>
    <w:rsid w:val="00747D2E"/>
    <w:rsid w:val="0075075F"/>
    <w:rsid w:val="00750804"/>
    <w:rsid w:val="00750816"/>
    <w:rsid w:val="00750AB9"/>
    <w:rsid w:val="0075136D"/>
    <w:rsid w:val="00751DB0"/>
    <w:rsid w:val="007524E5"/>
    <w:rsid w:val="00752E6F"/>
    <w:rsid w:val="00753AC9"/>
    <w:rsid w:val="00753ECD"/>
    <w:rsid w:val="00753EE3"/>
    <w:rsid w:val="0075432B"/>
    <w:rsid w:val="0075444B"/>
    <w:rsid w:val="00754543"/>
    <w:rsid w:val="00754860"/>
    <w:rsid w:val="00754AA5"/>
    <w:rsid w:val="00754FB2"/>
    <w:rsid w:val="007559E5"/>
    <w:rsid w:val="00755EC9"/>
    <w:rsid w:val="00756078"/>
    <w:rsid w:val="00756313"/>
    <w:rsid w:val="00756328"/>
    <w:rsid w:val="0075637B"/>
    <w:rsid w:val="007563F2"/>
    <w:rsid w:val="00756837"/>
    <w:rsid w:val="0075685C"/>
    <w:rsid w:val="007569A2"/>
    <w:rsid w:val="00756B7B"/>
    <w:rsid w:val="00756C96"/>
    <w:rsid w:val="0075700D"/>
    <w:rsid w:val="007571AB"/>
    <w:rsid w:val="0075723B"/>
    <w:rsid w:val="00757448"/>
    <w:rsid w:val="00757592"/>
    <w:rsid w:val="00757633"/>
    <w:rsid w:val="00757790"/>
    <w:rsid w:val="00757DB6"/>
    <w:rsid w:val="00757F59"/>
    <w:rsid w:val="00757F96"/>
    <w:rsid w:val="007601A2"/>
    <w:rsid w:val="00760323"/>
    <w:rsid w:val="00760942"/>
    <w:rsid w:val="00760C4B"/>
    <w:rsid w:val="00760F8E"/>
    <w:rsid w:val="00761944"/>
    <w:rsid w:val="00761F6F"/>
    <w:rsid w:val="007620C1"/>
    <w:rsid w:val="00762149"/>
    <w:rsid w:val="00762333"/>
    <w:rsid w:val="0076279D"/>
    <w:rsid w:val="00762A4B"/>
    <w:rsid w:val="00762B6B"/>
    <w:rsid w:val="00762BFE"/>
    <w:rsid w:val="0076302E"/>
    <w:rsid w:val="00763045"/>
    <w:rsid w:val="007635F6"/>
    <w:rsid w:val="00763AF2"/>
    <w:rsid w:val="00763E4A"/>
    <w:rsid w:val="00763E4E"/>
    <w:rsid w:val="00764160"/>
    <w:rsid w:val="007642F3"/>
    <w:rsid w:val="007644B2"/>
    <w:rsid w:val="00764A00"/>
    <w:rsid w:val="00764BAE"/>
    <w:rsid w:val="00764CF5"/>
    <w:rsid w:val="00765518"/>
    <w:rsid w:val="00765FBB"/>
    <w:rsid w:val="00766122"/>
    <w:rsid w:val="00766696"/>
    <w:rsid w:val="00766B3E"/>
    <w:rsid w:val="00766BED"/>
    <w:rsid w:val="00766D79"/>
    <w:rsid w:val="00767323"/>
    <w:rsid w:val="007675B5"/>
    <w:rsid w:val="00767A32"/>
    <w:rsid w:val="00770017"/>
    <w:rsid w:val="00770142"/>
    <w:rsid w:val="007702AD"/>
    <w:rsid w:val="007703C4"/>
    <w:rsid w:val="007706D7"/>
    <w:rsid w:val="0077123F"/>
    <w:rsid w:val="007712CF"/>
    <w:rsid w:val="00771339"/>
    <w:rsid w:val="00771470"/>
    <w:rsid w:val="0077155F"/>
    <w:rsid w:val="00771D30"/>
    <w:rsid w:val="0077231B"/>
    <w:rsid w:val="00772B59"/>
    <w:rsid w:val="00772D73"/>
    <w:rsid w:val="00773344"/>
    <w:rsid w:val="0077355E"/>
    <w:rsid w:val="0077372F"/>
    <w:rsid w:val="00773774"/>
    <w:rsid w:val="00773F74"/>
    <w:rsid w:val="007740DD"/>
    <w:rsid w:val="00774682"/>
    <w:rsid w:val="00774946"/>
    <w:rsid w:val="00774A0E"/>
    <w:rsid w:val="00774AF5"/>
    <w:rsid w:val="00774B6D"/>
    <w:rsid w:val="00774D2C"/>
    <w:rsid w:val="00775237"/>
    <w:rsid w:val="00775628"/>
    <w:rsid w:val="0077564D"/>
    <w:rsid w:val="00775883"/>
    <w:rsid w:val="00775C0B"/>
    <w:rsid w:val="00775F38"/>
    <w:rsid w:val="007762F0"/>
    <w:rsid w:val="007763FA"/>
    <w:rsid w:val="007766B7"/>
    <w:rsid w:val="00776A03"/>
    <w:rsid w:val="007775CB"/>
    <w:rsid w:val="00777819"/>
    <w:rsid w:val="00777B26"/>
    <w:rsid w:val="00780024"/>
    <w:rsid w:val="007803B5"/>
    <w:rsid w:val="007814DB"/>
    <w:rsid w:val="00781896"/>
    <w:rsid w:val="00781AA6"/>
    <w:rsid w:val="0078214E"/>
    <w:rsid w:val="007824DF"/>
    <w:rsid w:val="00782566"/>
    <w:rsid w:val="0078257F"/>
    <w:rsid w:val="00782F63"/>
    <w:rsid w:val="007830C4"/>
    <w:rsid w:val="00783251"/>
    <w:rsid w:val="00783578"/>
    <w:rsid w:val="00783954"/>
    <w:rsid w:val="00783D70"/>
    <w:rsid w:val="00783FC9"/>
    <w:rsid w:val="00784BD9"/>
    <w:rsid w:val="00784F12"/>
    <w:rsid w:val="00784F89"/>
    <w:rsid w:val="00785010"/>
    <w:rsid w:val="007851B9"/>
    <w:rsid w:val="0078543F"/>
    <w:rsid w:val="00785A1E"/>
    <w:rsid w:val="00785C78"/>
    <w:rsid w:val="00785FEF"/>
    <w:rsid w:val="007861C1"/>
    <w:rsid w:val="00786711"/>
    <w:rsid w:val="00786B97"/>
    <w:rsid w:val="00786DDA"/>
    <w:rsid w:val="00786ECD"/>
    <w:rsid w:val="00787428"/>
    <w:rsid w:val="00787458"/>
    <w:rsid w:val="00787643"/>
    <w:rsid w:val="0078775C"/>
    <w:rsid w:val="007901A3"/>
    <w:rsid w:val="007902A9"/>
    <w:rsid w:val="007903B7"/>
    <w:rsid w:val="007906C1"/>
    <w:rsid w:val="00790C96"/>
    <w:rsid w:val="00790E6C"/>
    <w:rsid w:val="007912CA"/>
    <w:rsid w:val="00791346"/>
    <w:rsid w:val="00791419"/>
    <w:rsid w:val="0079151B"/>
    <w:rsid w:val="00791B97"/>
    <w:rsid w:val="00791DFA"/>
    <w:rsid w:val="00791EC0"/>
    <w:rsid w:val="00791FD7"/>
    <w:rsid w:val="0079224E"/>
    <w:rsid w:val="007927C6"/>
    <w:rsid w:val="0079303B"/>
    <w:rsid w:val="007930AE"/>
    <w:rsid w:val="00793554"/>
    <w:rsid w:val="007937BB"/>
    <w:rsid w:val="00794558"/>
    <w:rsid w:val="007945CC"/>
    <w:rsid w:val="00794E9B"/>
    <w:rsid w:val="0079511C"/>
    <w:rsid w:val="007951AF"/>
    <w:rsid w:val="00795278"/>
    <w:rsid w:val="007952EA"/>
    <w:rsid w:val="007959F4"/>
    <w:rsid w:val="00795C43"/>
    <w:rsid w:val="00796003"/>
    <w:rsid w:val="007962E1"/>
    <w:rsid w:val="007962F6"/>
    <w:rsid w:val="00796653"/>
    <w:rsid w:val="00796AC0"/>
    <w:rsid w:val="0079716D"/>
    <w:rsid w:val="00797575"/>
    <w:rsid w:val="007975A4"/>
    <w:rsid w:val="0079765F"/>
    <w:rsid w:val="007977E0"/>
    <w:rsid w:val="00797C45"/>
    <w:rsid w:val="00797F9F"/>
    <w:rsid w:val="007A00F6"/>
    <w:rsid w:val="007A01AE"/>
    <w:rsid w:val="007A03B0"/>
    <w:rsid w:val="007A066A"/>
    <w:rsid w:val="007A06A8"/>
    <w:rsid w:val="007A094A"/>
    <w:rsid w:val="007A0C3F"/>
    <w:rsid w:val="007A0C43"/>
    <w:rsid w:val="007A0EED"/>
    <w:rsid w:val="007A11F2"/>
    <w:rsid w:val="007A122C"/>
    <w:rsid w:val="007A16B8"/>
    <w:rsid w:val="007A1CB4"/>
    <w:rsid w:val="007A1EBE"/>
    <w:rsid w:val="007A1FCE"/>
    <w:rsid w:val="007A2219"/>
    <w:rsid w:val="007A2267"/>
    <w:rsid w:val="007A2799"/>
    <w:rsid w:val="007A31D0"/>
    <w:rsid w:val="007A33B3"/>
    <w:rsid w:val="007A369F"/>
    <w:rsid w:val="007A3BCD"/>
    <w:rsid w:val="007A3C31"/>
    <w:rsid w:val="007A43B4"/>
    <w:rsid w:val="007A45B4"/>
    <w:rsid w:val="007A501E"/>
    <w:rsid w:val="007A515C"/>
    <w:rsid w:val="007A516C"/>
    <w:rsid w:val="007A559D"/>
    <w:rsid w:val="007A6028"/>
    <w:rsid w:val="007A6120"/>
    <w:rsid w:val="007A6783"/>
    <w:rsid w:val="007A6B77"/>
    <w:rsid w:val="007A6EC2"/>
    <w:rsid w:val="007A729D"/>
    <w:rsid w:val="007A7324"/>
    <w:rsid w:val="007A75D6"/>
    <w:rsid w:val="007A773C"/>
    <w:rsid w:val="007A781B"/>
    <w:rsid w:val="007A7B31"/>
    <w:rsid w:val="007A7F1D"/>
    <w:rsid w:val="007B01FB"/>
    <w:rsid w:val="007B0377"/>
    <w:rsid w:val="007B071D"/>
    <w:rsid w:val="007B07A7"/>
    <w:rsid w:val="007B09D2"/>
    <w:rsid w:val="007B0E86"/>
    <w:rsid w:val="007B13C4"/>
    <w:rsid w:val="007B171B"/>
    <w:rsid w:val="007B22C6"/>
    <w:rsid w:val="007B2707"/>
    <w:rsid w:val="007B3381"/>
    <w:rsid w:val="007B3DB4"/>
    <w:rsid w:val="007B3DB5"/>
    <w:rsid w:val="007B3DD0"/>
    <w:rsid w:val="007B3F59"/>
    <w:rsid w:val="007B42ED"/>
    <w:rsid w:val="007B49EE"/>
    <w:rsid w:val="007B4D11"/>
    <w:rsid w:val="007B52B2"/>
    <w:rsid w:val="007B56AD"/>
    <w:rsid w:val="007B579F"/>
    <w:rsid w:val="007B595B"/>
    <w:rsid w:val="007B5C0A"/>
    <w:rsid w:val="007B6097"/>
    <w:rsid w:val="007B60B3"/>
    <w:rsid w:val="007B61B4"/>
    <w:rsid w:val="007B6931"/>
    <w:rsid w:val="007B6CF9"/>
    <w:rsid w:val="007B6D51"/>
    <w:rsid w:val="007B6E22"/>
    <w:rsid w:val="007B7268"/>
    <w:rsid w:val="007B7456"/>
    <w:rsid w:val="007B76D2"/>
    <w:rsid w:val="007B78E3"/>
    <w:rsid w:val="007B7AD3"/>
    <w:rsid w:val="007C077D"/>
    <w:rsid w:val="007C0FB3"/>
    <w:rsid w:val="007C1069"/>
    <w:rsid w:val="007C126C"/>
    <w:rsid w:val="007C16C2"/>
    <w:rsid w:val="007C1875"/>
    <w:rsid w:val="007C1AE0"/>
    <w:rsid w:val="007C1D6D"/>
    <w:rsid w:val="007C1E83"/>
    <w:rsid w:val="007C1F9C"/>
    <w:rsid w:val="007C22E9"/>
    <w:rsid w:val="007C2793"/>
    <w:rsid w:val="007C2E1A"/>
    <w:rsid w:val="007C3310"/>
    <w:rsid w:val="007C3C12"/>
    <w:rsid w:val="007C3EBF"/>
    <w:rsid w:val="007C3F92"/>
    <w:rsid w:val="007C4174"/>
    <w:rsid w:val="007C4212"/>
    <w:rsid w:val="007C4791"/>
    <w:rsid w:val="007C496E"/>
    <w:rsid w:val="007C4E2F"/>
    <w:rsid w:val="007C4F88"/>
    <w:rsid w:val="007C5034"/>
    <w:rsid w:val="007C5182"/>
    <w:rsid w:val="007C5336"/>
    <w:rsid w:val="007C539C"/>
    <w:rsid w:val="007C5AA1"/>
    <w:rsid w:val="007C5CF8"/>
    <w:rsid w:val="007C5E47"/>
    <w:rsid w:val="007C6CB6"/>
    <w:rsid w:val="007C6D4E"/>
    <w:rsid w:val="007C7128"/>
    <w:rsid w:val="007C71B7"/>
    <w:rsid w:val="007C79BB"/>
    <w:rsid w:val="007C7DB2"/>
    <w:rsid w:val="007C7F8D"/>
    <w:rsid w:val="007D0154"/>
    <w:rsid w:val="007D0293"/>
    <w:rsid w:val="007D0577"/>
    <w:rsid w:val="007D05BF"/>
    <w:rsid w:val="007D0600"/>
    <w:rsid w:val="007D0669"/>
    <w:rsid w:val="007D0B4B"/>
    <w:rsid w:val="007D103D"/>
    <w:rsid w:val="007D132D"/>
    <w:rsid w:val="007D14D6"/>
    <w:rsid w:val="007D18BF"/>
    <w:rsid w:val="007D22DF"/>
    <w:rsid w:val="007D29CB"/>
    <w:rsid w:val="007D2A5F"/>
    <w:rsid w:val="007D2BAF"/>
    <w:rsid w:val="007D31CE"/>
    <w:rsid w:val="007D3244"/>
    <w:rsid w:val="007D3303"/>
    <w:rsid w:val="007D34B1"/>
    <w:rsid w:val="007D34C5"/>
    <w:rsid w:val="007D3CA8"/>
    <w:rsid w:val="007D3F2C"/>
    <w:rsid w:val="007D40D2"/>
    <w:rsid w:val="007D431B"/>
    <w:rsid w:val="007D4875"/>
    <w:rsid w:val="007D4F3D"/>
    <w:rsid w:val="007D5027"/>
    <w:rsid w:val="007D5320"/>
    <w:rsid w:val="007D5AC2"/>
    <w:rsid w:val="007D5EAE"/>
    <w:rsid w:val="007D5F7F"/>
    <w:rsid w:val="007D64C8"/>
    <w:rsid w:val="007D64ED"/>
    <w:rsid w:val="007D665A"/>
    <w:rsid w:val="007D6783"/>
    <w:rsid w:val="007D6F97"/>
    <w:rsid w:val="007D70EB"/>
    <w:rsid w:val="007D76A8"/>
    <w:rsid w:val="007D77C0"/>
    <w:rsid w:val="007E002A"/>
    <w:rsid w:val="007E011C"/>
    <w:rsid w:val="007E01EC"/>
    <w:rsid w:val="007E04E5"/>
    <w:rsid w:val="007E07F5"/>
    <w:rsid w:val="007E0AC9"/>
    <w:rsid w:val="007E0C0C"/>
    <w:rsid w:val="007E0E47"/>
    <w:rsid w:val="007E10C6"/>
    <w:rsid w:val="007E11CE"/>
    <w:rsid w:val="007E216B"/>
    <w:rsid w:val="007E2A83"/>
    <w:rsid w:val="007E31CF"/>
    <w:rsid w:val="007E3E7B"/>
    <w:rsid w:val="007E433B"/>
    <w:rsid w:val="007E446C"/>
    <w:rsid w:val="007E4750"/>
    <w:rsid w:val="007E4795"/>
    <w:rsid w:val="007E4AAA"/>
    <w:rsid w:val="007E4CBC"/>
    <w:rsid w:val="007E4D14"/>
    <w:rsid w:val="007E51B8"/>
    <w:rsid w:val="007E5240"/>
    <w:rsid w:val="007E56D3"/>
    <w:rsid w:val="007E5BD1"/>
    <w:rsid w:val="007E620B"/>
    <w:rsid w:val="007E6569"/>
    <w:rsid w:val="007E6B9A"/>
    <w:rsid w:val="007E743D"/>
    <w:rsid w:val="007E78E2"/>
    <w:rsid w:val="007E7DA5"/>
    <w:rsid w:val="007E7E7D"/>
    <w:rsid w:val="007F0115"/>
    <w:rsid w:val="007F0BCC"/>
    <w:rsid w:val="007F0E21"/>
    <w:rsid w:val="007F124C"/>
    <w:rsid w:val="007F14F9"/>
    <w:rsid w:val="007F19F0"/>
    <w:rsid w:val="007F1AC7"/>
    <w:rsid w:val="007F1EC3"/>
    <w:rsid w:val="007F2AB0"/>
    <w:rsid w:val="007F2C14"/>
    <w:rsid w:val="007F3265"/>
    <w:rsid w:val="007F3326"/>
    <w:rsid w:val="007F36FE"/>
    <w:rsid w:val="007F39A4"/>
    <w:rsid w:val="007F39E3"/>
    <w:rsid w:val="007F4149"/>
    <w:rsid w:val="007F457D"/>
    <w:rsid w:val="007F524D"/>
    <w:rsid w:val="007F541A"/>
    <w:rsid w:val="007F562E"/>
    <w:rsid w:val="007F583D"/>
    <w:rsid w:val="007F6124"/>
    <w:rsid w:val="007F6499"/>
    <w:rsid w:val="007F689D"/>
    <w:rsid w:val="007F6BD9"/>
    <w:rsid w:val="007F6D68"/>
    <w:rsid w:val="007F7414"/>
    <w:rsid w:val="007F796A"/>
    <w:rsid w:val="007F7C0C"/>
    <w:rsid w:val="0080095E"/>
    <w:rsid w:val="00800A73"/>
    <w:rsid w:val="00800B5F"/>
    <w:rsid w:val="00800D55"/>
    <w:rsid w:val="008011CC"/>
    <w:rsid w:val="0080170F"/>
    <w:rsid w:val="00801871"/>
    <w:rsid w:val="0080190D"/>
    <w:rsid w:val="00801ECD"/>
    <w:rsid w:val="00802A9E"/>
    <w:rsid w:val="00802E70"/>
    <w:rsid w:val="00802EC1"/>
    <w:rsid w:val="008030C8"/>
    <w:rsid w:val="00803304"/>
    <w:rsid w:val="008034D9"/>
    <w:rsid w:val="008034EB"/>
    <w:rsid w:val="008035B8"/>
    <w:rsid w:val="008036F9"/>
    <w:rsid w:val="008037D7"/>
    <w:rsid w:val="00803966"/>
    <w:rsid w:val="00803B1F"/>
    <w:rsid w:val="00804005"/>
    <w:rsid w:val="008043EE"/>
    <w:rsid w:val="00804689"/>
    <w:rsid w:val="00804716"/>
    <w:rsid w:val="008047B4"/>
    <w:rsid w:val="00804B75"/>
    <w:rsid w:val="0080588E"/>
    <w:rsid w:val="00805936"/>
    <w:rsid w:val="008059F9"/>
    <w:rsid w:val="00805A0B"/>
    <w:rsid w:val="00805A73"/>
    <w:rsid w:val="00805BDE"/>
    <w:rsid w:val="008064DD"/>
    <w:rsid w:val="00806569"/>
    <w:rsid w:val="00806670"/>
    <w:rsid w:val="0080697A"/>
    <w:rsid w:val="00806AF0"/>
    <w:rsid w:val="00806EA9"/>
    <w:rsid w:val="0080703E"/>
    <w:rsid w:val="008071FE"/>
    <w:rsid w:val="00807552"/>
    <w:rsid w:val="00807D36"/>
    <w:rsid w:val="008100A5"/>
    <w:rsid w:val="00810620"/>
    <w:rsid w:val="008114D3"/>
    <w:rsid w:val="00811BBF"/>
    <w:rsid w:val="00811DB3"/>
    <w:rsid w:val="0081210C"/>
    <w:rsid w:val="0081240A"/>
    <w:rsid w:val="008127DE"/>
    <w:rsid w:val="008133D5"/>
    <w:rsid w:val="008133D8"/>
    <w:rsid w:val="0081344C"/>
    <w:rsid w:val="00813629"/>
    <w:rsid w:val="00813BD4"/>
    <w:rsid w:val="0081446F"/>
    <w:rsid w:val="00814794"/>
    <w:rsid w:val="00814804"/>
    <w:rsid w:val="00814CC2"/>
    <w:rsid w:val="00814E75"/>
    <w:rsid w:val="00815192"/>
    <w:rsid w:val="008151B0"/>
    <w:rsid w:val="00815339"/>
    <w:rsid w:val="00815639"/>
    <w:rsid w:val="0081569C"/>
    <w:rsid w:val="00815711"/>
    <w:rsid w:val="008159A5"/>
    <w:rsid w:val="00815A4D"/>
    <w:rsid w:val="008161AF"/>
    <w:rsid w:val="008161D7"/>
    <w:rsid w:val="0081622D"/>
    <w:rsid w:val="008165F7"/>
    <w:rsid w:val="0081682B"/>
    <w:rsid w:val="00816F54"/>
    <w:rsid w:val="00817187"/>
    <w:rsid w:val="008171CD"/>
    <w:rsid w:val="00817235"/>
    <w:rsid w:val="0081737A"/>
    <w:rsid w:val="00817C44"/>
    <w:rsid w:val="008207C6"/>
    <w:rsid w:val="008208DD"/>
    <w:rsid w:val="008208F4"/>
    <w:rsid w:val="00820C1D"/>
    <w:rsid w:val="00820C29"/>
    <w:rsid w:val="0082108E"/>
    <w:rsid w:val="00821200"/>
    <w:rsid w:val="00821258"/>
    <w:rsid w:val="008214A4"/>
    <w:rsid w:val="008215AA"/>
    <w:rsid w:val="00821771"/>
    <w:rsid w:val="00821A14"/>
    <w:rsid w:val="00821C99"/>
    <w:rsid w:val="00821D17"/>
    <w:rsid w:val="00821D23"/>
    <w:rsid w:val="00821D72"/>
    <w:rsid w:val="00821D90"/>
    <w:rsid w:val="00821E08"/>
    <w:rsid w:val="00821ED8"/>
    <w:rsid w:val="00821FBC"/>
    <w:rsid w:val="00822092"/>
    <w:rsid w:val="008220FB"/>
    <w:rsid w:val="00822259"/>
    <w:rsid w:val="0082254C"/>
    <w:rsid w:val="00822689"/>
    <w:rsid w:val="008226F4"/>
    <w:rsid w:val="00822A42"/>
    <w:rsid w:val="00822E12"/>
    <w:rsid w:val="00823132"/>
    <w:rsid w:val="0082317C"/>
    <w:rsid w:val="008231B4"/>
    <w:rsid w:val="008233B7"/>
    <w:rsid w:val="0082372F"/>
    <w:rsid w:val="00823DDA"/>
    <w:rsid w:val="00823EFF"/>
    <w:rsid w:val="008241B6"/>
    <w:rsid w:val="0082529B"/>
    <w:rsid w:val="00825367"/>
    <w:rsid w:val="00825C8D"/>
    <w:rsid w:val="00826359"/>
    <w:rsid w:val="008265CF"/>
    <w:rsid w:val="0082688F"/>
    <w:rsid w:val="00826BEA"/>
    <w:rsid w:val="00826CEF"/>
    <w:rsid w:val="00826E33"/>
    <w:rsid w:val="00827079"/>
    <w:rsid w:val="00827218"/>
    <w:rsid w:val="00827423"/>
    <w:rsid w:val="00827E77"/>
    <w:rsid w:val="008300F6"/>
    <w:rsid w:val="0083052A"/>
    <w:rsid w:val="0083069B"/>
    <w:rsid w:val="00830703"/>
    <w:rsid w:val="0083070F"/>
    <w:rsid w:val="00830B13"/>
    <w:rsid w:val="008313A5"/>
    <w:rsid w:val="0083142E"/>
    <w:rsid w:val="008316AB"/>
    <w:rsid w:val="008316C0"/>
    <w:rsid w:val="00831BA8"/>
    <w:rsid w:val="00831E8C"/>
    <w:rsid w:val="00832327"/>
    <w:rsid w:val="008323C9"/>
    <w:rsid w:val="00832538"/>
    <w:rsid w:val="00832757"/>
    <w:rsid w:val="0083285F"/>
    <w:rsid w:val="00832B3C"/>
    <w:rsid w:val="00832B78"/>
    <w:rsid w:val="00833210"/>
    <w:rsid w:val="008333D3"/>
    <w:rsid w:val="00833A20"/>
    <w:rsid w:val="00833C26"/>
    <w:rsid w:val="00834009"/>
    <w:rsid w:val="00834078"/>
    <w:rsid w:val="00834330"/>
    <w:rsid w:val="00834AA9"/>
    <w:rsid w:val="00834CEB"/>
    <w:rsid w:val="0083520E"/>
    <w:rsid w:val="0083594A"/>
    <w:rsid w:val="00835C2D"/>
    <w:rsid w:val="0083623C"/>
    <w:rsid w:val="0083675A"/>
    <w:rsid w:val="00836B42"/>
    <w:rsid w:val="0083742B"/>
    <w:rsid w:val="0083768D"/>
    <w:rsid w:val="00837895"/>
    <w:rsid w:val="00837BD8"/>
    <w:rsid w:val="00837C06"/>
    <w:rsid w:val="00837D2A"/>
    <w:rsid w:val="00840196"/>
    <w:rsid w:val="00840486"/>
    <w:rsid w:val="0084098F"/>
    <w:rsid w:val="00840B2C"/>
    <w:rsid w:val="00840BF3"/>
    <w:rsid w:val="00840C61"/>
    <w:rsid w:val="00840E12"/>
    <w:rsid w:val="00841663"/>
    <w:rsid w:val="008422D7"/>
    <w:rsid w:val="0084248F"/>
    <w:rsid w:val="008428E1"/>
    <w:rsid w:val="00842E34"/>
    <w:rsid w:val="00842F21"/>
    <w:rsid w:val="00842FBD"/>
    <w:rsid w:val="00842FE1"/>
    <w:rsid w:val="008432AF"/>
    <w:rsid w:val="00843A61"/>
    <w:rsid w:val="00843CB0"/>
    <w:rsid w:val="00843DFE"/>
    <w:rsid w:val="00844142"/>
    <w:rsid w:val="008445A3"/>
    <w:rsid w:val="008447DF"/>
    <w:rsid w:val="008447F9"/>
    <w:rsid w:val="00844BC7"/>
    <w:rsid w:val="00844CB1"/>
    <w:rsid w:val="00844FB0"/>
    <w:rsid w:val="00844FD1"/>
    <w:rsid w:val="00845139"/>
    <w:rsid w:val="00845703"/>
    <w:rsid w:val="008458E2"/>
    <w:rsid w:val="008459FF"/>
    <w:rsid w:val="00845AF6"/>
    <w:rsid w:val="0084607D"/>
    <w:rsid w:val="008462DF"/>
    <w:rsid w:val="00846680"/>
    <w:rsid w:val="00846A58"/>
    <w:rsid w:val="0084781F"/>
    <w:rsid w:val="00847BF5"/>
    <w:rsid w:val="00847CC1"/>
    <w:rsid w:val="00847E57"/>
    <w:rsid w:val="00847EA6"/>
    <w:rsid w:val="0085049E"/>
    <w:rsid w:val="008508A7"/>
    <w:rsid w:val="00850E26"/>
    <w:rsid w:val="00850FCD"/>
    <w:rsid w:val="0085124E"/>
    <w:rsid w:val="00851285"/>
    <w:rsid w:val="00851469"/>
    <w:rsid w:val="008518D1"/>
    <w:rsid w:val="008519EB"/>
    <w:rsid w:val="00851D51"/>
    <w:rsid w:val="00851F1B"/>
    <w:rsid w:val="00852913"/>
    <w:rsid w:val="00852B52"/>
    <w:rsid w:val="008531A7"/>
    <w:rsid w:val="008535D0"/>
    <w:rsid w:val="00853857"/>
    <w:rsid w:val="008539C8"/>
    <w:rsid w:val="00853F5B"/>
    <w:rsid w:val="00854AD8"/>
    <w:rsid w:val="00854C43"/>
    <w:rsid w:val="0085511F"/>
    <w:rsid w:val="008554E5"/>
    <w:rsid w:val="0085556F"/>
    <w:rsid w:val="008557E1"/>
    <w:rsid w:val="008559BE"/>
    <w:rsid w:val="00855F47"/>
    <w:rsid w:val="00855FA7"/>
    <w:rsid w:val="00856687"/>
    <w:rsid w:val="008566C6"/>
    <w:rsid w:val="008569F1"/>
    <w:rsid w:val="00857407"/>
    <w:rsid w:val="00857BF2"/>
    <w:rsid w:val="00857E0F"/>
    <w:rsid w:val="0086020E"/>
    <w:rsid w:val="00860BA6"/>
    <w:rsid w:val="00860BDD"/>
    <w:rsid w:val="008612BB"/>
    <w:rsid w:val="0086160A"/>
    <w:rsid w:val="00861715"/>
    <w:rsid w:val="008618BB"/>
    <w:rsid w:val="00861A7F"/>
    <w:rsid w:val="00861B64"/>
    <w:rsid w:val="00861BC4"/>
    <w:rsid w:val="00861D3B"/>
    <w:rsid w:val="00861E42"/>
    <w:rsid w:val="00862035"/>
    <w:rsid w:val="008626E8"/>
    <w:rsid w:val="00862AF2"/>
    <w:rsid w:val="00862EFB"/>
    <w:rsid w:val="00862FF6"/>
    <w:rsid w:val="00863055"/>
    <w:rsid w:val="008630D7"/>
    <w:rsid w:val="008635EF"/>
    <w:rsid w:val="008636C7"/>
    <w:rsid w:val="008639A3"/>
    <w:rsid w:val="00863EFA"/>
    <w:rsid w:val="00863F8B"/>
    <w:rsid w:val="0086401D"/>
    <w:rsid w:val="0086411D"/>
    <w:rsid w:val="008641AE"/>
    <w:rsid w:val="00864294"/>
    <w:rsid w:val="00864B34"/>
    <w:rsid w:val="00864B4F"/>
    <w:rsid w:val="00865027"/>
    <w:rsid w:val="00865438"/>
    <w:rsid w:val="008655CB"/>
    <w:rsid w:val="00865629"/>
    <w:rsid w:val="008658FD"/>
    <w:rsid w:val="00865A3B"/>
    <w:rsid w:val="00865D27"/>
    <w:rsid w:val="00865EAE"/>
    <w:rsid w:val="0086627E"/>
    <w:rsid w:val="0086689C"/>
    <w:rsid w:val="00866933"/>
    <w:rsid w:val="00866ABC"/>
    <w:rsid w:val="00866CF4"/>
    <w:rsid w:val="008670C2"/>
    <w:rsid w:val="00867B77"/>
    <w:rsid w:val="00870395"/>
    <w:rsid w:val="0087049D"/>
    <w:rsid w:val="008709A4"/>
    <w:rsid w:val="00870EF5"/>
    <w:rsid w:val="00870F35"/>
    <w:rsid w:val="008711E9"/>
    <w:rsid w:val="00871619"/>
    <w:rsid w:val="0087165F"/>
    <w:rsid w:val="008716C1"/>
    <w:rsid w:val="00871B48"/>
    <w:rsid w:val="00871C54"/>
    <w:rsid w:val="00871DF6"/>
    <w:rsid w:val="008723F7"/>
    <w:rsid w:val="0087293E"/>
    <w:rsid w:val="00872D8D"/>
    <w:rsid w:val="00872DF9"/>
    <w:rsid w:val="00872EE5"/>
    <w:rsid w:val="008736D9"/>
    <w:rsid w:val="00873B95"/>
    <w:rsid w:val="00873CBA"/>
    <w:rsid w:val="00874149"/>
    <w:rsid w:val="00874591"/>
    <w:rsid w:val="008745B5"/>
    <w:rsid w:val="00874779"/>
    <w:rsid w:val="00874C8D"/>
    <w:rsid w:val="00874E51"/>
    <w:rsid w:val="00875189"/>
    <w:rsid w:val="00875328"/>
    <w:rsid w:val="00875607"/>
    <w:rsid w:val="00875A07"/>
    <w:rsid w:val="00875FF3"/>
    <w:rsid w:val="008763CF"/>
    <w:rsid w:val="00876706"/>
    <w:rsid w:val="00876980"/>
    <w:rsid w:val="00876A83"/>
    <w:rsid w:val="00876D31"/>
    <w:rsid w:val="00877191"/>
    <w:rsid w:val="0087722A"/>
    <w:rsid w:val="008772DE"/>
    <w:rsid w:val="0087735D"/>
    <w:rsid w:val="0087794E"/>
    <w:rsid w:val="00877DF8"/>
    <w:rsid w:val="00880621"/>
    <w:rsid w:val="00880832"/>
    <w:rsid w:val="00880A55"/>
    <w:rsid w:val="00880AA8"/>
    <w:rsid w:val="00880C35"/>
    <w:rsid w:val="00881424"/>
    <w:rsid w:val="00881812"/>
    <w:rsid w:val="00882097"/>
    <w:rsid w:val="008821F5"/>
    <w:rsid w:val="008821F8"/>
    <w:rsid w:val="00882200"/>
    <w:rsid w:val="008822AE"/>
    <w:rsid w:val="00882379"/>
    <w:rsid w:val="0088281F"/>
    <w:rsid w:val="00883292"/>
    <w:rsid w:val="00883329"/>
    <w:rsid w:val="008833E8"/>
    <w:rsid w:val="008835EE"/>
    <w:rsid w:val="00883768"/>
    <w:rsid w:val="008837CC"/>
    <w:rsid w:val="00883F9A"/>
    <w:rsid w:val="00884258"/>
    <w:rsid w:val="008851D3"/>
    <w:rsid w:val="00885446"/>
    <w:rsid w:val="0088550F"/>
    <w:rsid w:val="008857B2"/>
    <w:rsid w:val="00885BEE"/>
    <w:rsid w:val="00885C61"/>
    <w:rsid w:val="00886019"/>
    <w:rsid w:val="00886933"/>
    <w:rsid w:val="00886ABF"/>
    <w:rsid w:val="00886D79"/>
    <w:rsid w:val="00886ED3"/>
    <w:rsid w:val="00887365"/>
    <w:rsid w:val="00887514"/>
    <w:rsid w:val="0088763B"/>
    <w:rsid w:val="0088767A"/>
    <w:rsid w:val="00890281"/>
    <w:rsid w:val="00890904"/>
    <w:rsid w:val="00890CAE"/>
    <w:rsid w:val="0089172E"/>
    <w:rsid w:val="00891ABA"/>
    <w:rsid w:val="00891F94"/>
    <w:rsid w:val="008921CE"/>
    <w:rsid w:val="008922E0"/>
    <w:rsid w:val="008922E4"/>
    <w:rsid w:val="008925C3"/>
    <w:rsid w:val="0089285C"/>
    <w:rsid w:val="008930DC"/>
    <w:rsid w:val="00893483"/>
    <w:rsid w:val="00893549"/>
    <w:rsid w:val="00893A2F"/>
    <w:rsid w:val="00893CB0"/>
    <w:rsid w:val="00894151"/>
    <w:rsid w:val="00895470"/>
    <w:rsid w:val="008954E2"/>
    <w:rsid w:val="00895666"/>
    <w:rsid w:val="008959BC"/>
    <w:rsid w:val="008960F7"/>
    <w:rsid w:val="008962E5"/>
    <w:rsid w:val="008963A2"/>
    <w:rsid w:val="0089662C"/>
    <w:rsid w:val="00897571"/>
    <w:rsid w:val="0089796D"/>
    <w:rsid w:val="008979EA"/>
    <w:rsid w:val="00897E33"/>
    <w:rsid w:val="008A003B"/>
    <w:rsid w:val="008A06ED"/>
    <w:rsid w:val="008A0C6F"/>
    <w:rsid w:val="008A1A7D"/>
    <w:rsid w:val="008A1AAF"/>
    <w:rsid w:val="008A2098"/>
    <w:rsid w:val="008A221D"/>
    <w:rsid w:val="008A245F"/>
    <w:rsid w:val="008A2A55"/>
    <w:rsid w:val="008A2A5E"/>
    <w:rsid w:val="008A2BB5"/>
    <w:rsid w:val="008A3714"/>
    <w:rsid w:val="008A405F"/>
    <w:rsid w:val="008A4257"/>
    <w:rsid w:val="008A47A3"/>
    <w:rsid w:val="008A480C"/>
    <w:rsid w:val="008A4935"/>
    <w:rsid w:val="008A4CFB"/>
    <w:rsid w:val="008A4DC0"/>
    <w:rsid w:val="008A4F6D"/>
    <w:rsid w:val="008A5187"/>
    <w:rsid w:val="008A5319"/>
    <w:rsid w:val="008A5B0F"/>
    <w:rsid w:val="008A5C67"/>
    <w:rsid w:val="008A5E91"/>
    <w:rsid w:val="008A5F39"/>
    <w:rsid w:val="008A666D"/>
    <w:rsid w:val="008A6C59"/>
    <w:rsid w:val="008A6C98"/>
    <w:rsid w:val="008A6ECA"/>
    <w:rsid w:val="008B00D2"/>
    <w:rsid w:val="008B0613"/>
    <w:rsid w:val="008B0CEE"/>
    <w:rsid w:val="008B15CD"/>
    <w:rsid w:val="008B17EF"/>
    <w:rsid w:val="008B1C7C"/>
    <w:rsid w:val="008B1CE9"/>
    <w:rsid w:val="008B1ECB"/>
    <w:rsid w:val="008B2032"/>
    <w:rsid w:val="008B2DD8"/>
    <w:rsid w:val="008B2F48"/>
    <w:rsid w:val="008B3522"/>
    <w:rsid w:val="008B3ADC"/>
    <w:rsid w:val="008B3C4E"/>
    <w:rsid w:val="008B4076"/>
    <w:rsid w:val="008B4799"/>
    <w:rsid w:val="008B4D3C"/>
    <w:rsid w:val="008B4F6C"/>
    <w:rsid w:val="008B4FFE"/>
    <w:rsid w:val="008B50A7"/>
    <w:rsid w:val="008B52AC"/>
    <w:rsid w:val="008B53F0"/>
    <w:rsid w:val="008B542C"/>
    <w:rsid w:val="008B586F"/>
    <w:rsid w:val="008B597D"/>
    <w:rsid w:val="008B5C1E"/>
    <w:rsid w:val="008B61EC"/>
    <w:rsid w:val="008B63FE"/>
    <w:rsid w:val="008B6A75"/>
    <w:rsid w:val="008B6D6F"/>
    <w:rsid w:val="008B6F16"/>
    <w:rsid w:val="008B7902"/>
    <w:rsid w:val="008B7C00"/>
    <w:rsid w:val="008C0B4C"/>
    <w:rsid w:val="008C0BF1"/>
    <w:rsid w:val="008C0CC4"/>
    <w:rsid w:val="008C1545"/>
    <w:rsid w:val="008C1718"/>
    <w:rsid w:val="008C181B"/>
    <w:rsid w:val="008C2A4B"/>
    <w:rsid w:val="008C2F91"/>
    <w:rsid w:val="008C32F5"/>
    <w:rsid w:val="008C3CBC"/>
    <w:rsid w:val="008C3DBA"/>
    <w:rsid w:val="008C3E5D"/>
    <w:rsid w:val="008C3E7E"/>
    <w:rsid w:val="008C3FC4"/>
    <w:rsid w:val="008C53E4"/>
    <w:rsid w:val="008C5A8B"/>
    <w:rsid w:val="008C5F4B"/>
    <w:rsid w:val="008C6540"/>
    <w:rsid w:val="008C6B22"/>
    <w:rsid w:val="008C6BC9"/>
    <w:rsid w:val="008C6E60"/>
    <w:rsid w:val="008D026A"/>
    <w:rsid w:val="008D026F"/>
    <w:rsid w:val="008D03BC"/>
    <w:rsid w:val="008D03D7"/>
    <w:rsid w:val="008D07F6"/>
    <w:rsid w:val="008D0F67"/>
    <w:rsid w:val="008D14F9"/>
    <w:rsid w:val="008D173A"/>
    <w:rsid w:val="008D19AD"/>
    <w:rsid w:val="008D2019"/>
    <w:rsid w:val="008D208B"/>
    <w:rsid w:val="008D24B7"/>
    <w:rsid w:val="008D2605"/>
    <w:rsid w:val="008D267C"/>
    <w:rsid w:val="008D267E"/>
    <w:rsid w:val="008D2BD7"/>
    <w:rsid w:val="008D2E3B"/>
    <w:rsid w:val="008D37D2"/>
    <w:rsid w:val="008D3971"/>
    <w:rsid w:val="008D3994"/>
    <w:rsid w:val="008D3C15"/>
    <w:rsid w:val="008D3DAB"/>
    <w:rsid w:val="008D4172"/>
    <w:rsid w:val="008D433D"/>
    <w:rsid w:val="008D48C7"/>
    <w:rsid w:val="008D4D08"/>
    <w:rsid w:val="008D4E1D"/>
    <w:rsid w:val="008D518B"/>
    <w:rsid w:val="008D522F"/>
    <w:rsid w:val="008D53D8"/>
    <w:rsid w:val="008D54DC"/>
    <w:rsid w:val="008D57F6"/>
    <w:rsid w:val="008D5F75"/>
    <w:rsid w:val="008D601A"/>
    <w:rsid w:val="008D60BA"/>
    <w:rsid w:val="008D615F"/>
    <w:rsid w:val="008D62E2"/>
    <w:rsid w:val="008D649C"/>
    <w:rsid w:val="008D65C2"/>
    <w:rsid w:val="008D685F"/>
    <w:rsid w:val="008D68AA"/>
    <w:rsid w:val="008D6AB3"/>
    <w:rsid w:val="008D6E16"/>
    <w:rsid w:val="008D7087"/>
    <w:rsid w:val="008D7827"/>
    <w:rsid w:val="008D7A0B"/>
    <w:rsid w:val="008E0CD2"/>
    <w:rsid w:val="008E0D24"/>
    <w:rsid w:val="008E10F6"/>
    <w:rsid w:val="008E123E"/>
    <w:rsid w:val="008E13DF"/>
    <w:rsid w:val="008E1467"/>
    <w:rsid w:val="008E191A"/>
    <w:rsid w:val="008E1D32"/>
    <w:rsid w:val="008E1EDF"/>
    <w:rsid w:val="008E1F72"/>
    <w:rsid w:val="008E242A"/>
    <w:rsid w:val="008E2A85"/>
    <w:rsid w:val="008E2A88"/>
    <w:rsid w:val="008E2BA6"/>
    <w:rsid w:val="008E2C5F"/>
    <w:rsid w:val="008E2C80"/>
    <w:rsid w:val="008E325C"/>
    <w:rsid w:val="008E3655"/>
    <w:rsid w:val="008E3D40"/>
    <w:rsid w:val="008E3D68"/>
    <w:rsid w:val="008E3F69"/>
    <w:rsid w:val="008E4131"/>
    <w:rsid w:val="008E4159"/>
    <w:rsid w:val="008E4C05"/>
    <w:rsid w:val="008E5593"/>
    <w:rsid w:val="008E565F"/>
    <w:rsid w:val="008E58A8"/>
    <w:rsid w:val="008E5944"/>
    <w:rsid w:val="008E5A1C"/>
    <w:rsid w:val="008E5DE9"/>
    <w:rsid w:val="008E5ED5"/>
    <w:rsid w:val="008E624A"/>
    <w:rsid w:val="008E674D"/>
    <w:rsid w:val="008E67EA"/>
    <w:rsid w:val="008E69D6"/>
    <w:rsid w:val="008E6FC5"/>
    <w:rsid w:val="008E72CB"/>
    <w:rsid w:val="008E7416"/>
    <w:rsid w:val="008E74B1"/>
    <w:rsid w:val="008E7895"/>
    <w:rsid w:val="008E78EA"/>
    <w:rsid w:val="008F0502"/>
    <w:rsid w:val="008F05FE"/>
    <w:rsid w:val="008F0685"/>
    <w:rsid w:val="008F08E5"/>
    <w:rsid w:val="008F0CDC"/>
    <w:rsid w:val="008F1926"/>
    <w:rsid w:val="008F1B47"/>
    <w:rsid w:val="008F1D32"/>
    <w:rsid w:val="008F1E01"/>
    <w:rsid w:val="008F2F2B"/>
    <w:rsid w:val="008F313B"/>
    <w:rsid w:val="008F32A7"/>
    <w:rsid w:val="008F38C9"/>
    <w:rsid w:val="008F3BCA"/>
    <w:rsid w:val="008F3DA7"/>
    <w:rsid w:val="008F4032"/>
    <w:rsid w:val="008F405A"/>
    <w:rsid w:val="008F4296"/>
    <w:rsid w:val="008F47CB"/>
    <w:rsid w:val="008F4BFD"/>
    <w:rsid w:val="008F4D02"/>
    <w:rsid w:val="008F4D88"/>
    <w:rsid w:val="008F52D7"/>
    <w:rsid w:val="008F5324"/>
    <w:rsid w:val="008F5DA5"/>
    <w:rsid w:val="008F5DF7"/>
    <w:rsid w:val="008F5E7E"/>
    <w:rsid w:val="008F61B4"/>
    <w:rsid w:val="008F6705"/>
    <w:rsid w:val="008F6841"/>
    <w:rsid w:val="008F6C9B"/>
    <w:rsid w:val="008F7378"/>
    <w:rsid w:val="008F74CB"/>
    <w:rsid w:val="008F7529"/>
    <w:rsid w:val="008F78D1"/>
    <w:rsid w:val="008F791E"/>
    <w:rsid w:val="008F7A03"/>
    <w:rsid w:val="009007D2"/>
    <w:rsid w:val="009009BD"/>
    <w:rsid w:val="00900D70"/>
    <w:rsid w:val="0090105F"/>
    <w:rsid w:val="00901309"/>
    <w:rsid w:val="009020E5"/>
    <w:rsid w:val="009023A8"/>
    <w:rsid w:val="00902B97"/>
    <w:rsid w:val="00902EA4"/>
    <w:rsid w:val="009030F0"/>
    <w:rsid w:val="00903628"/>
    <w:rsid w:val="00903887"/>
    <w:rsid w:val="00903940"/>
    <w:rsid w:val="00903E08"/>
    <w:rsid w:val="00903E14"/>
    <w:rsid w:val="009040A3"/>
    <w:rsid w:val="00904111"/>
    <w:rsid w:val="0090426A"/>
    <w:rsid w:val="009044B0"/>
    <w:rsid w:val="009044F6"/>
    <w:rsid w:val="00904C17"/>
    <w:rsid w:val="00904CBF"/>
    <w:rsid w:val="00904D5D"/>
    <w:rsid w:val="00904D9D"/>
    <w:rsid w:val="00904F53"/>
    <w:rsid w:val="009050BF"/>
    <w:rsid w:val="00905448"/>
    <w:rsid w:val="00905744"/>
    <w:rsid w:val="00905A76"/>
    <w:rsid w:val="00905AD3"/>
    <w:rsid w:val="00905ECE"/>
    <w:rsid w:val="00906CDF"/>
    <w:rsid w:val="00907522"/>
    <w:rsid w:val="009076EB"/>
    <w:rsid w:val="00907D0A"/>
    <w:rsid w:val="00910053"/>
    <w:rsid w:val="009100F0"/>
    <w:rsid w:val="0091025F"/>
    <w:rsid w:val="00910FA1"/>
    <w:rsid w:val="009111B9"/>
    <w:rsid w:val="00911A37"/>
    <w:rsid w:val="00911C09"/>
    <w:rsid w:val="00912067"/>
    <w:rsid w:val="00912133"/>
    <w:rsid w:val="009123A2"/>
    <w:rsid w:val="00912447"/>
    <w:rsid w:val="009125A4"/>
    <w:rsid w:val="00912D7A"/>
    <w:rsid w:val="00913076"/>
    <w:rsid w:val="009132EB"/>
    <w:rsid w:val="0091339D"/>
    <w:rsid w:val="009134CB"/>
    <w:rsid w:val="00913BE2"/>
    <w:rsid w:val="00913E74"/>
    <w:rsid w:val="00914425"/>
    <w:rsid w:val="00914A15"/>
    <w:rsid w:val="0091513F"/>
    <w:rsid w:val="009154BD"/>
    <w:rsid w:val="009156DE"/>
    <w:rsid w:val="00915B72"/>
    <w:rsid w:val="00915BA1"/>
    <w:rsid w:val="00915C0A"/>
    <w:rsid w:val="00915D45"/>
    <w:rsid w:val="00915FD7"/>
    <w:rsid w:val="00916181"/>
    <w:rsid w:val="009161DE"/>
    <w:rsid w:val="0091647E"/>
    <w:rsid w:val="0091679D"/>
    <w:rsid w:val="00916947"/>
    <w:rsid w:val="00916AD0"/>
    <w:rsid w:val="00916EE5"/>
    <w:rsid w:val="0091769B"/>
    <w:rsid w:val="00920058"/>
    <w:rsid w:val="00920568"/>
    <w:rsid w:val="00920A73"/>
    <w:rsid w:val="00920D5A"/>
    <w:rsid w:val="00920DB0"/>
    <w:rsid w:val="00920EE4"/>
    <w:rsid w:val="009211FE"/>
    <w:rsid w:val="00921A09"/>
    <w:rsid w:val="00921DC0"/>
    <w:rsid w:val="00922977"/>
    <w:rsid w:val="00922BF7"/>
    <w:rsid w:val="00922E34"/>
    <w:rsid w:val="009231AB"/>
    <w:rsid w:val="00923344"/>
    <w:rsid w:val="009233EC"/>
    <w:rsid w:val="009235F2"/>
    <w:rsid w:val="009237CD"/>
    <w:rsid w:val="00923A0E"/>
    <w:rsid w:val="00923D1B"/>
    <w:rsid w:val="00923E87"/>
    <w:rsid w:val="00924033"/>
    <w:rsid w:val="0092445F"/>
    <w:rsid w:val="00924A40"/>
    <w:rsid w:val="00924C4E"/>
    <w:rsid w:val="00924DFA"/>
    <w:rsid w:val="00924F01"/>
    <w:rsid w:val="009258F2"/>
    <w:rsid w:val="00925B7E"/>
    <w:rsid w:val="00926103"/>
    <w:rsid w:val="00926A1F"/>
    <w:rsid w:val="00926BAA"/>
    <w:rsid w:val="00926DBD"/>
    <w:rsid w:val="0092733E"/>
    <w:rsid w:val="009274E5"/>
    <w:rsid w:val="00927BB0"/>
    <w:rsid w:val="00927E41"/>
    <w:rsid w:val="00927F3B"/>
    <w:rsid w:val="009300D9"/>
    <w:rsid w:val="009303E2"/>
    <w:rsid w:val="009303EB"/>
    <w:rsid w:val="009304A6"/>
    <w:rsid w:val="009307F9"/>
    <w:rsid w:val="00930D0D"/>
    <w:rsid w:val="00930FD1"/>
    <w:rsid w:val="009313E2"/>
    <w:rsid w:val="0093147A"/>
    <w:rsid w:val="00931663"/>
    <w:rsid w:val="00931A6A"/>
    <w:rsid w:val="00931B8D"/>
    <w:rsid w:val="00932CFD"/>
    <w:rsid w:val="00932D1A"/>
    <w:rsid w:val="00933782"/>
    <w:rsid w:val="00933B5F"/>
    <w:rsid w:val="00933D83"/>
    <w:rsid w:val="00934206"/>
    <w:rsid w:val="009342A1"/>
    <w:rsid w:val="009348CE"/>
    <w:rsid w:val="00934CA3"/>
    <w:rsid w:val="00934D48"/>
    <w:rsid w:val="0093523D"/>
    <w:rsid w:val="0093550A"/>
    <w:rsid w:val="009356CA"/>
    <w:rsid w:val="0093583E"/>
    <w:rsid w:val="0093591C"/>
    <w:rsid w:val="0093599A"/>
    <w:rsid w:val="00935B39"/>
    <w:rsid w:val="00935FC7"/>
    <w:rsid w:val="00936365"/>
    <w:rsid w:val="0093651F"/>
    <w:rsid w:val="009365FD"/>
    <w:rsid w:val="00936DF6"/>
    <w:rsid w:val="00937045"/>
    <w:rsid w:val="00937692"/>
    <w:rsid w:val="0093772D"/>
    <w:rsid w:val="00937756"/>
    <w:rsid w:val="00937959"/>
    <w:rsid w:val="0093798E"/>
    <w:rsid w:val="00937A18"/>
    <w:rsid w:val="00937B6B"/>
    <w:rsid w:val="00940527"/>
    <w:rsid w:val="0094068A"/>
    <w:rsid w:val="009407D2"/>
    <w:rsid w:val="00940902"/>
    <w:rsid w:val="00940C6E"/>
    <w:rsid w:val="0094121C"/>
    <w:rsid w:val="0094125E"/>
    <w:rsid w:val="009418BF"/>
    <w:rsid w:val="00941CA6"/>
    <w:rsid w:val="00941F8D"/>
    <w:rsid w:val="0094204D"/>
    <w:rsid w:val="00942454"/>
    <w:rsid w:val="009425D3"/>
    <w:rsid w:val="00942B2A"/>
    <w:rsid w:val="00942E67"/>
    <w:rsid w:val="0094328C"/>
    <w:rsid w:val="00943ADC"/>
    <w:rsid w:val="00943E64"/>
    <w:rsid w:val="00943E68"/>
    <w:rsid w:val="00944170"/>
    <w:rsid w:val="00944500"/>
    <w:rsid w:val="00944EC9"/>
    <w:rsid w:val="0094540D"/>
    <w:rsid w:val="009454C0"/>
    <w:rsid w:val="009460B4"/>
    <w:rsid w:val="00946334"/>
    <w:rsid w:val="00946364"/>
    <w:rsid w:val="009465E9"/>
    <w:rsid w:val="00946795"/>
    <w:rsid w:val="00946808"/>
    <w:rsid w:val="00946999"/>
    <w:rsid w:val="00946A5B"/>
    <w:rsid w:val="009470E5"/>
    <w:rsid w:val="009475E6"/>
    <w:rsid w:val="009476C7"/>
    <w:rsid w:val="0094792C"/>
    <w:rsid w:val="00947ABC"/>
    <w:rsid w:val="0095009D"/>
    <w:rsid w:val="00950383"/>
    <w:rsid w:val="009505EF"/>
    <w:rsid w:val="00950A2A"/>
    <w:rsid w:val="00950B5E"/>
    <w:rsid w:val="00950B6C"/>
    <w:rsid w:val="00950C51"/>
    <w:rsid w:val="00950FC2"/>
    <w:rsid w:val="009512D7"/>
    <w:rsid w:val="00951451"/>
    <w:rsid w:val="00951564"/>
    <w:rsid w:val="0095180C"/>
    <w:rsid w:val="009518A4"/>
    <w:rsid w:val="00951A3D"/>
    <w:rsid w:val="00951B8C"/>
    <w:rsid w:val="00952477"/>
    <w:rsid w:val="00952804"/>
    <w:rsid w:val="00952A09"/>
    <w:rsid w:val="00952ACE"/>
    <w:rsid w:val="00952C3D"/>
    <w:rsid w:val="00952D18"/>
    <w:rsid w:val="00952F30"/>
    <w:rsid w:val="009530C8"/>
    <w:rsid w:val="00953189"/>
    <w:rsid w:val="009531D5"/>
    <w:rsid w:val="00953414"/>
    <w:rsid w:val="00953BB5"/>
    <w:rsid w:val="00953CAE"/>
    <w:rsid w:val="00953ED7"/>
    <w:rsid w:val="00953FFB"/>
    <w:rsid w:val="009540C4"/>
    <w:rsid w:val="00954A42"/>
    <w:rsid w:val="00954C0E"/>
    <w:rsid w:val="00954FA4"/>
    <w:rsid w:val="0095598F"/>
    <w:rsid w:val="009559DE"/>
    <w:rsid w:val="00955AF9"/>
    <w:rsid w:val="00955BA8"/>
    <w:rsid w:val="00956869"/>
    <w:rsid w:val="00956CCE"/>
    <w:rsid w:val="00956E61"/>
    <w:rsid w:val="00957055"/>
    <w:rsid w:val="0095706A"/>
    <w:rsid w:val="00957226"/>
    <w:rsid w:val="00957485"/>
    <w:rsid w:val="00957CFC"/>
    <w:rsid w:val="00957FD1"/>
    <w:rsid w:val="009604A1"/>
    <w:rsid w:val="00960737"/>
    <w:rsid w:val="00960981"/>
    <w:rsid w:val="009609FE"/>
    <w:rsid w:val="00960AD9"/>
    <w:rsid w:val="009612A2"/>
    <w:rsid w:val="0096176C"/>
    <w:rsid w:val="009617F4"/>
    <w:rsid w:val="0096180B"/>
    <w:rsid w:val="00961DE2"/>
    <w:rsid w:val="009622E8"/>
    <w:rsid w:val="00962364"/>
    <w:rsid w:val="009623D8"/>
    <w:rsid w:val="009626A9"/>
    <w:rsid w:val="00962AF8"/>
    <w:rsid w:val="00962B45"/>
    <w:rsid w:val="00962B91"/>
    <w:rsid w:val="00962D4C"/>
    <w:rsid w:val="00962EE5"/>
    <w:rsid w:val="00963A39"/>
    <w:rsid w:val="00963B65"/>
    <w:rsid w:val="00963C52"/>
    <w:rsid w:val="00963F49"/>
    <w:rsid w:val="00963F6B"/>
    <w:rsid w:val="00964BB4"/>
    <w:rsid w:val="00964D0F"/>
    <w:rsid w:val="0096503D"/>
    <w:rsid w:val="009654D2"/>
    <w:rsid w:val="009654D8"/>
    <w:rsid w:val="00965647"/>
    <w:rsid w:val="009658C6"/>
    <w:rsid w:val="00965932"/>
    <w:rsid w:val="00965FFC"/>
    <w:rsid w:val="009662D4"/>
    <w:rsid w:val="00966448"/>
    <w:rsid w:val="00966458"/>
    <w:rsid w:val="00966557"/>
    <w:rsid w:val="0096658F"/>
    <w:rsid w:val="009665BC"/>
    <w:rsid w:val="009668E5"/>
    <w:rsid w:val="00966B14"/>
    <w:rsid w:val="009671D5"/>
    <w:rsid w:val="00967C9C"/>
    <w:rsid w:val="009700FC"/>
    <w:rsid w:val="00970642"/>
    <w:rsid w:val="009708EE"/>
    <w:rsid w:val="00970AC7"/>
    <w:rsid w:val="00970AE9"/>
    <w:rsid w:val="00970F83"/>
    <w:rsid w:val="00970FCF"/>
    <w:rsid w:val="009715C6"/>
    <w:rsid w:val="009724FD"/>
    <w:rsid w:val="00972B03"/>
    <w:rsid w:val="009731B1"/>
    <w:rsid w:val="009738CA"/>
    <w:rsid w:val="00973EC9"/>
    <w:rsid w:val="009740DC"/>
    <w:rsid w:val="00974121"/>
    <w:rsid w:val="00974128"/>
    <w:rsid w:val="009745BC"/>
    <w:rsid w:val="00974747"/>
    <w:rsid w:val="00974A3D"/>
    <w:rsid w:val="009753E9"/>
    <w:rsid w:val="00975B08"/>
    <w:rsid w:val="00976013"/>
    <w:rsid w:val="009765D4"/>
    <w:rsid w:val="00976C8D"/>
    <w:rsid w:val="009774E1"/>
    <w:rsid w:val="009777B1"/>
    <w:rsid w:val="00977840"/>
    <w:rsid w:val="00977A9C"/>
    <w:rsid w:val="0098002A"/>
    <w:rsid w:val="0098029E"/>
    <w:rsid w:val="00980516"/>
    <w:rsid w:val="00980C68"/>
    <w:rsid w:val="009810C8"/>
    <w:rsid w:val="00981490"/>
    <w:rsid w:val="0098149D"/>
    <w:rsid w:val="009814C9"/>
    <w:rsid w:val="00981A8E"/>
    <w:rsid w:val="00981EB1"/>
    <w:rsid w:val="0098202C"/>
    <w:rsid w:val="00982034"/>
    <w:rsid w:val="0098217D"/>
    <w:rsid w:val="00982740"/>
    <w:rsid w:val="0098279A"/>
    <w:rsid w:val="009827D8"/>
    <w:rsid w:val="00982BEC"/>
    <w:rsid w:val="00982C97"/>
    <w:rsid w:val="00983443"/>
    <w:rsid w:val="0098392A"/>
    <w:rsid w:val="00983CC7"/>
    <w:rsid w:val="00984167"/>
    <w:rsid w:val="0098430E"/>
    <w:rsid w:val="00984C2E"/>
    <w:rsid w:val="00985221"/>
    <w:rsid w:val="0098691D"/>
    <w:rsid w:val="00986DAD"/>
    <w:rsid w:val="009874E0"/>
    <w:rsid w:val="00987720"/>
    <w:rsid w:val="0098773F"/>
    <w:rsid w:val="00987D0D"/>
    <w:rsid w:val="00987E48"/>
    <w:rsid w:val="009901DA"/>
    <w:rsid w:val="00990464"/>
    <w:rsid w:val="00990865"/>
    <w:rsid w:val="00990E2F"/>
    <w:rsid w:val="00991159"/>
    <w:rsid w:val="009911F3"/>
    <w:rsid w:val="00991208"/>
    <w:rsid w:val="00991653"/>
    <w:rsid w:val="00991A48"/>
    <w:rsid w:val="00991A65"/>
    <w:rsid w:val="00991DF4"/>
    <w:rsid w:val="0099200B"/>
    <w:rsid w:val="00992356"/>
    <w:rsid w:val="00992A5A"/>
    <w:rsid w:val="009933A4"/>
    <w:rsid w:val="00993755"/>
    <w:rsid w:val="00993C5F"/>
    <w:rsid w:val="00993DE1"/>
    <w:rsid w:val="00994830"/>
    <w:rsid w:val="009948EC"/>
    <w:rsid w:val="00994A89"/>
    <w:rsid w:val="00994CF5"/>
    <w:rsid w:val="00994EB3"/>
    <w:rsid w:val="009956BA"/>
    <w:rsid w:val="00995A9C"/>
    <w:rsid w:val="00995CE4"/>
    <w:rsid w:val="0099644F"/>
    <w:rsid w:val="009968CA"/>
    <w:rsid w:val="00996C62"/>
    <w:rsid w:val="00997300"/>
    <w:rsid w:val="0099733C"/>
    <w:rsid w:val="0099765F"/>
    <w:rsid w:val="00997759"/>
    <w:rsid w:val="00997B21"/>
    <w:rsid w:val="009A00F9"/>
    <w:rsid w:val="009A01B9"/>
    <w:rsid w:val="009A038C"/>
    <w:rsid w:val="009A03B3"/>
    <w:rsid w:val="009A050B"/>
    <w:rsid w:val="009A0637"/>
    <w:rsid w:val="009A0CBC"/>
    <w:rsid w:val="009A0F14"/>
    <w:rsid w:val="009A0F8A"/>
    <w:rsid w:val="009A1056"/>
    <w:rsid w:val="009A138E"/>
    <w:rsid w:val="009A175F"/>
    <w:rsid w:val="009A1922"/>
    <w:rsid w:val="009A2578"/>
    <w:rsid w:val="009A25F4"/>
    <w:rsid w:val="009A26F2"/>
    <w:rsid w:val="009A2C55"/>
    <w:rsid w:val="009A3345"/>
    <w:rsid w:val="009A33F7"/>
    <w:rsid w:val="009A3587"/>
    <w:rsid w:val="009A3B40"/>
    <w:rsid w:val="009A3BB0"/>
    <w:rsid w:val="009A3FDE"/>
    <w:rsid w:val="009A406B"/>
    <w:rsid w:val="009A40DA"/>
    <w:rsid w:val="009A40F8"/>
    <w:rsid w:val="009A4270"/>
    <w:rsid w:val="009A47CD"/>
    <w:rsid w:val="009A4D5A"/>
    <w:rsid w:val="009A5256"/>
    <w:rsid w:val="009A541A"/>
    <w:rsid w:val="009A5522"/>
    <w:rsid w:val="009A57F6"/>
    <w:rsid w:val="009A5A5A"/>
    <w:rsid w:val="009A5AC6"/>
    <w:rsid w:val="009A6372"/>
    <w:rsid w:val="009A6613"/>
    <w:rsid w:val="009A68D8"/>
    <w:rsid w:val="009A6ED6"/>
    <w:rsid w:val="009A711B"/>
    <w:rsid w:val="009A72D5"/>
    <w:rsid w:val="009A78B4"/>
    <w:rsid w:val="009A7A86"/>
    <w:rsid w:val="009A7E6B"/>
    <w:rsid w:val="009A7FBE"/>
    <w:rsid w:val="009B0085"/>
    <w:rsid w:val="009B0100"/>
    <w:rsid w:val="009B02A2"/>
    <w:rsid w:val="009B0375"/>
    <w:rsid w:val="009B03F0"/>
    <w:rsid w:val="009B06D4"/>
    <w:rsid w:val="009B09B2"/>
    <w:rsid w:val="009B0C78"/>
    <w:rsid w:val="009B10AA"/>
    <w:rsid w:val="009B12BC"/>
    <w:rsid w:val="009B13BE"/>
    <w:rsid w:val="009B14C1"/>
    <w:rsid w:val="009B14FC"/>
    <w:rsid w:val="009B1944"/>
    <w:rsid w:val="009B19CF"/>
    <w:rsid w:val="009B1CEC"/>
    <w:rsid w:val="009B1F58"/>
    <w:rsid w:val="009B1F72"/>
    <w:rsid w:val="009B29B7"/>
    <w:rsid w:val="009B29DA"/>
    <w:rsid w:val="009B2C94"/>
    <w:rsid w:val="009B316E"/>
    <w:rsid w:val="009B32F8"/>
    <w:rsid w:val="009B3590"/>
    <w:rsid w:val="009B36D0"/>
    <w:rsid w:val="009B3CDA"/>
    <w:rsid w:val="009B4431"/>
    <w:rsid w:val="009B4857"/>
    <w:rsid w:val="009B4F34"/>
    <w:rsid w:val="009B5462"/>
    <w:rsid w:val="009B637C"/>
    <w:rsid w:val="009B67AA"/>
    <w:rsid w:val="009B69BA"/>
    <w:rsid w:val="009B6A5D"/>
    <w:rsid w:val="009B6CD0"/>
    <w:rsid w:val="009B6D5C"/>
    <w:rsid w:val="009B745C"/>
    <w:rsid w:val="009B785C"/>
    <w:rsid w:val="009B7D34"/>
    <w:rsid w:val="009B7FC0"/>
    <w:rsid w:val="009C02B6"/>
    <w:rsid w:val="009C0AC8"/>
    <w:rsid w:val="009C0D79"/>
    <w:rsid w:val="009C12F2"/>
    <w:rsid w:val="009C1353"/>
    <w:rsid w:val="009C17F3"/>
    <w:rsid w:val="009C1D14"/>
    <w:rsid w:val="009C1D90"/>
    <w:rsid w:val="009C1F20"/>
    <w:rsid w:val="009C21B7"/>
    <w:rsid w:val="009C2B8D"/>
    <w:rsid w:val="009C2E10"/>
    <w:rsid w:val="009C2F19"/>
    <w:rsid w:val="009C3070"/>
    <w:rsid w:val="009C30A2"/>
    <w:rsid w:val="009C3189"/>
    <w:rsid w:val="009C33C2"/>
    <w:rsid w:val="009C39EF"/>
    <w:rsid w:val="009C4461"/>
    <w:rsid w:val="009C51DC"/>
    <w:rsid w:val="009C52CD"/>
    <w:rsid w:val="009C5BF6"/>
    <w:rsid w:val="009C65D9"/>
    <w:rsid w:val="009C713B"/>
    <w:rsid w:val="009C714C"/>
    <w:rsid w:val="009C71A1"/>
    <w:rsid w:val="009C7791"/>
    <w:rsid w:val="009C7843"/>
    <w:rsid w:val="009C7A12"/>
    <w:rsid w:val="009C7C43"/>
    <w:rsid w:val="009C7C78"/>
    <w:rsid w:val="009D0050"/>
    <w:rsid w:val="009D013A"/>
    <w:rsid w:val="009D03F3"/>
    <w:rsid w:val="009D0A41"/>
    <w:rsid w:val="009D0B41"/>
    <w:rsid w:val="009D0B5F"/>
    <w:rsid w:val="009D1079"/>
    <w:rsid w:val="009D1111"/>
    <w:rsid w:val="009D132A"/>
    <w:rsid w:val="009D1630"/>
    <w:rsid w:val="009D196D"/>
    <w:rsid w:val="009D1D3F"/>
    <w:rsid w:val="009D1EAD"/>
    <w:rsid w:val="009D2444"/>
    <w:rsid w:val="009D251E"/>
    <w:rsid w:val="009D278F"/>
    <w:rsid w:val="009D298F"/>
    <w:rsid w:val="009D2D20"/>
    <w:rsid w:val="009D2F3A"/>
    <w:rsid w:val="009D3054"/>
    <w:rsid w:val="009D32DC"/>
    <w:rsid w:val="009D35FC"/>
    <w:rsid w:val="009D39CE"/>
    <w:rsid w:val="009D3B81"/>
    <w:rsid w:val="009D4209"/>
    <w:rsid w:val="009D4638"/>
    <w:rsid w:val="009D477A"/>
    <w:rsid w:val="009D5474"/>
    <w:rsid w:val="009D5E15"/>
    <w:rsid w:val="009D637F"/>
    <w:rsid w:val="009D6738"/>
    <w:rsid w:val="009D69F1"/>
    <w:rsid w:val="009D6A2E"/>
    <w:rsid w:val="009D6BA8"/>
    <w:rsid w:val="009D70C3"/>
    <w:rsid w:val="009E03E9"/>
    <w:rsid w:val="009E0AEF"/>
    <w:rsid w:val="009E0B84"/>
    <w:rsid w:val="009E1DC4"/>
    <w:rsid w:val="009E1DFF"/>
    <w:rsid w:val="009E1FA8"/>
    <w:rsid w:val="009E20E8"/>
    <w:rsid w:val="009E2A2D"/>
    <w:rsid w:val="009E2B0B"/>
    <w:rsid w:val="009E2BF5"/>
    <w:rsid w:val="009E2CCC"/>
    <w:rsid w:val="009E2E79"/>
    <w:rsid w:val="009E2FA8"/>
    <w:rsid w:val="009E3812"/>
    <w:rsid w:val="009E4838"/>
    <w:rsid w:val="009E4B90"/>
    <w:rsid w:val="009E4DAC"/>
    <w:rsid w:val="009E4E59"/>
    <w:rsid w:val="009E5184"/>
    <w:rsid w:val="009E581A"/>
    <w:rsid w:val="009E589D"/>
    <w:rsid w:val="009E59D9"/>
    <w:rsid w:val="009E60A6"/>
    <w:rsid w:val="009E619B"/>
    <w:rsid w:val="009E6A8F"/>
    <w:rsid w:val="009E707E"/>
    <w:rsid w:val="009E7389"/>
    <w:rsid w:val="009E73AB"/>
    <w:rsid w:val="009E757C"/>
    <w:rsid w:val="009E7668"/>
    <w:rsid w:val="009E7ABE"/>
    <w:rsid w:val="009F038A"/>
    <w:rsid w:val="009F05FC"/>
    <w:rsid w:val="009F082B"/>
    <w:rsid w:val="009F12C3"/>
    <w:rsid w:val="009F19FE"/>
    <w:rsid w:val="009F208D"/>
    <w:rsid w:val="009F2216"/>
    <w:rsid w:val="009F2628"/>
    <w:rsid w:val="009F2CC3"/>
    <w:rsid w:val="009F2D19"/>
    <w:rsid w:val="009F2D59"/>
    <w:rsid w:val="009F3074"/>
    <w:rsid w:val="009F3231"/>
    <w:rsid w:val="009F3CC4"/>
    <w:rsid w:val="009F3D44"/>
    <w:rsid w:val="009F3DAB"/>
    <w:rsid w:val="009F43B1"/>
    <w:rsid w:val="009F458F"/>
    <w:rsid w:val="009F4BBF"/>
    <w:rsid w:val="009F4D8E"/>
    <w:rsid w:val="009F5060"/>
    <w:rsid w:val="009F5069"/>
    <w:rsid w:val="009F5072"/>
    <w:rsid w:val="009F5D91"/>
    <w:rsid w:val="009F5DD5"/>
    <w:rsid w:val="009F6779"/>
    <w:rsid w:val="009F6CDA"/>
    <w:rsid w:val="009F6DD1"/>
    <w:rsid w:val="009F6F29"/>
    <w:rsid w:val="009F6F74"/>
    <w:rsid w:val="009F71E3"/>
    <w:rsid w:val="009F73F2"/>
    <w:rsid w:val="009F7F64"/>
    <w:rsid w:val="009F7FEA"/>
    <w:rsid w:val="00A00056"/>
    <w:rsid w:val="00A000DF"/>
    <w:rsid w:val="00A00C22"/>
    <w:rsid w:val="00A00D59"/>
    <w:rsid w:val="00A01B3C"/>
    <w:rsid w:val="00A01B4C"/>
    <w:rsid w:val="00A01DAB"/>
    <w:rsid w:val="00A01F80"/>
    <w:rsid w:val="00A02433"/>
    <w:rsid w:val="00A02551"/>
    <w:rsid w:val="00A02946"/>
    <w:rsid w:val="00A02AB2"/>
    <w:rsid w:val="00A02DB9"/>
    <w:rsid w:val="00A02DE0"/>
    <w:rsid w:val="00A02F90"/>
    <w:rsid w:val="00A0317F"/>
    <w:rsid w:val="00A032B7"/>
    <w:rsid w:val="00A035EC"/>
    <w:rsid w:val="00A03621"/>
    <w:rsid w:val="00A039BD"/>
    <w:rsid w:val="00A04063"/>
    <w:rsid w:val="00A047A3"/>
    <w:rsid w:val="00A0493A"/>
    <w:rsid w:val="00A04E97"/>
    <w:rsid w:val="00A04FFB"/>
    <w:rsid w:val="00A0500E"/>
    <w:rsid w:val="00A05404"/>
    <w:rsid w:val="00A05490"/>
    <w:rsid w:val="00A058FC"/>
    <w:rsid w:val="00A059EE"/>
    <w:rsid w:val="00A06099"/>
    <w:rsid w:val="00A065E9"/>
    <w:rsid w:val="00A06646"/>
    <w:rsid w:val="00A06763"/>
    <w:rsid w:val="00A0677E"/>
    <w:rsid w:val="00A0682B"/>
    <w:rsid w:val="00A06B83"/>
    <w:rsid w:val="00A06CA8"/>
    <w:rsid w:val="00A06DD8"/>
    <w:rsid w:val="00A0777B"/>
    <w:rsid w:val="00A079F2"/>
    <w:rsid w:val="00A07E2D"/>
    <w:rsid w:val="00A10284"/>
    <w:rsid w:val="00A1047E"/>
    <w:rsid w:val="00A109A4"/>
    <w:rsid w:val="00A10B63"/>
    <w:rsid w:val="00A10D54"/>
    <w:rsid w:val="00A1179D"/>
    <w:rsid w:val="00A118F0"/>
    <w:rsid w:val="00A11DBF"/>
    <w:rsid w:val="00A11F77"/>
    <w:rsid w:val="00A1208B"/>
    <w:rsid w:val="00A12441"/>
    <w:rsid w:val="00A1264E"/>
    <w:rsid w:val="00A12BED"/>
    <w:rsid w:val="00A12DFF"/>
    <w:rsid w:val="00A135EF"/>
    <w:rsid w:val="00A13885"/>
    <w:rsid w:val="00A14046"/>
    <w:rsid w:val="00A1434D"/>
    <w:rsid w:val="00A14572"/>
    <w:rsid w:val="00A148A1"/>
    <w:rsid w:val="00A14C4C"/>
    <w:rsid w:val="00A14E1F"/>
    <w:rsid w:val="00A15330"/>
    <w:rsid w:val="00A156FC"/>
    <w:rsid w:val="00A15970"/>
    <w:rsid w:val="00A1598F"/>
    <w:rsid w:val="00A15A3F"/>
    <w:rsid w:val="00A15B74"/>
    <w:rsid w:val="00A15D98"/>
    <w:rsid w:val="00A16034"/>
    <w:rsid w:val="00A163C9"/>
    <w:rsid w:val="00A16442"/>
    <w:rsid w:val="00A164FE"/>
    <w:rsid w:val="00A16960"/>
    <w:rsid w:val="00A16AF6"/>
    <w:rsid w:val="00A16B2F"/>
    <w:rsid w:val="00A16E50"/>
    <w:rsid w:val="00A1745D"/>
    <w:rsid w:val="00A17771"/>
    <w:rsid w:val="00A17871"/>
    <w:rsid w:val="00A17AE1"/>
    <w:rsid w:val="00A207A5"/>
    <w:rsid w:val="00A20849"/>
    <w:rsid w:val="00A20B22"/>
    <w:rsid w:val="00A20FC5"/>
    <w:rsid w:val="00A211E0"/>
    <w:rsid w:val="00A22031"/>
    <w:rsid w:val="00A222CF"/>
    <w:rsid w:val="00A226C7"/>
    <w:rsid w:val="00A22807"/>
    <w:rsid w:val="00A22932"/>
    <w:rsid w:val="00A22A5A"/>
    <w:rsid w:val="00A22F25"/>
    <w:rsid w:val="00A2328F"/>
    <w:rsid w:val="00A236A3"/>
    <w:rsid w:val="00A238DD"/>
    <w:rsid w:val="00A2399C"/>
    <w:rsid w:val="00A23D6C"/>
    <w:rsid w:val="00A23DD2"/>
    <w:rsid w:val="00A23E88"/>
    <w:rsid w:val="00A23EFC"/>
    <w:rsid w:val="00A240F0"/>
    <w:rsid w:val="00A24274"/>
    <w:rsid w:val="00A242B9"/>
    <w:rsid w:val="00A2446E"/>
    <w:rsid w:val="00A24531"/>
    <w:rsid w:val="00A245FF"/>
    <w:rsid w:val="00A24868"/>
    <w:rsid w:val="00A248B4"/>
    <w:rsid w:val="00A248BD"/>
    <w:rsid w:val="00A24CE3"/>
    <w:rsid w:val="00A25404"/>
    <w:rsid w:val="00A2555A"/>
    <w:rsid w:val="00A259D3"/>
    <w:rsid w:val="00A261A0"/>
    <w:rsid w:val="00A26DB1"/>
    <w:rsid w:val="00A2707E"/>
    <w:rsid w:val="00A271A3"/>
    <w:rsid w:val="00A27287"/>
    <w:rsid w:val="00A27478"/>
    <w:rsid w:val="00A276C8"/>
    <w:rsid w:val="00A3003E"/>
    <w:rsid w:val="00A30081"/>
    <w:rsid w:val="00A3016A"/>
    <w:rsid w:val="00A3057A"/>
    <w:rsid w:val="00A308B0"/>
    <w:rsid w:val="00A30D48"/>
    <w:rsid w:val="00A30F44"/>
    <w:rsid w:val="00A30FA1"/>
    <w:rsid w:val="00A31CE4"/>
    <w:rsid w:val="00A31EF2"/>
    <w:rsid w:val="00A31F49"/>
    <w:rsid w:val="00A322C5"/>
    <w:rsid w:val="00A322DA"/>
    <w:rsid w:val="00A32355"/>
    <w:rsid w:val="00A3293E"/>
    <w:rsid w:val="00A329C6"/>
    <w:rsid w:val="00A32BC9"/>
    <w:rsid w:val="00A32FD2"/>
    <w:rsid w:val="00A33170"/>
    <w:rsid w:val="00A332F2"/>
    <w:rsid w:val="00A3349F"/>
    <w:rsid w:val="00A33958"/>
    <w:rsid w:val="00A34978"/>
    <w:rsid w:val="00A34E98"/>
    <w:rsid w:val="00A34EF7"/>
    <w:rsid w:val="00A34FB0"/>
    <w:rsid w:val="00A3554E"/>
    <w:rsid w:val="00A355C8"/>
    <w:rsid w:val="00A35764"/>
    <w:rsid w:val="00A35C36"/>
    <w:rsid w:val="00A35D14"/>
    <w:rsid w:val="00A375AC"/>
    <w:rsid w:val="00A378AE"/>
    <w:rsid w:val="00A37F4C"/>
    <w:rsid w:val="00A402F6"/>
    <w:rsid w:val="00A406FB"/>
    <w:rsid w:val="00A40DC9"/>
    <w:rsid w:val="00A40F72"/>
    <w:rsid w:val="00A413F1"/>
    <w:rsid w:val="00A41472"/>
    <w:rsid w:val="00A4170A"/>
    <w:rsid w:val="00A41826"/>
    <w:rsid w:val="00A418D8"/>
    <w:rsid w:val="00A41A1C"/>
    <w:rsid w:val="00A41D8A"/>
    <w:rsid w:val="00A4223C"/>
    <w:rsid w:val="00A426F8"/>
    <w:rsid w:val="00A427C2"/>
    <w:rsid w:val="00A42E4C"/>
    <w:rsid w:val="00A4327B"/>
    <w:rsid w:val="00A438DF"/>
    <w:rsid w:val="00A4432B"/>
    <w:rsid w:val="00A44656"/>
    <w:rsid w:val="00A44A4D"/>
    <w:rsid w:val="00A45016"/>
    <w:rsid w:val="00A45380"/>
    <w:rsid w:val="00A453D9"/>
    <w:rsid w:val="00A454C1"/>
    <w:rsid w:val="00A456B2"/>
    <w:rsid w:val="00A458F4"/>
    <w:rsid w:val="00A4590A"/>
    <w:rsid w:val="00A45D2C"/>
    <w:rsid w:val="00A46204"/>
    <w:rsid w:val="00A46291"/>
    <w:rsid w:val="00A463F8"/>
    <w:rsid w:val="00A4689F"/>
    <w:rsid w:val="00A468B1"/>
    <w:rsid w:val="00A4703D"/>
    <w:rsid w:val="00A470DC"/>
    <w:rsid w:val="00A47235"/>
    <w:rsid w:val="00A474E1"/>
    <w:rsid w:val="00A47768"/>
    <w:rsid w:val="00A47B6B"/>
    <w:rsid w:val="00A47BDB"/>
    <w:rsid w:val="00A50656"/>
    <w:rsid w:val="00A50841"/>
    <w:rsid w:val="00A50899"/>
    <w:rsid w:val="00A508DD"/>
    <w:rsid w:val="00A50A1C"/>
    <w:rsid w:val="00A513A9"/>
    <w:rsid w:val="00A515BD"/>
    <w:rsid w:val="00A51609"/>
    <w:rsid w:val="00A5176E"/>
    <w:rsid w:val="00A51EF3"/>
    <w:rsid w:val="00A52141"/>
    <w:rsid w:val="00A523C5"/>
    <w:rsid w:val="00A52789"/>
    <w:rsid w:val="00A5291D"/>
    <w:rsid w:val="00A52B67"/>
    <w:rsid w:val="00A52E46"/>
    <w:rsid w:val="00A52FAE"/>
    <w:rsid w:val="00A52FF7"/>
    <w:rsid w:val="00A53132"/>
    <w:rsid w:val="00A53381"/>
    <w:rsid w:val="00A53398"/>
    <w:rsid w:val="00A535A8"/>
    <w:rsid w:val="00A53661"/>
    <w:rsid w:val="00A537D8"/>
    <w:rsid w:val="00A53964"/>
    <w:rsid w:val="00A53B90"/>
    <w:rsid w:val="00A53E9A"/>
    <w:rsid w:val="00A5536C"/>
    <w:rsid w:val="00A557F2"/>
    <w:rsid w:val="00A55A03"/>
    <w:rsid w:val="00A55CB7"/>
    <w:rsid w:val="00A55E6D"/>
    <w:rsid w:val="00A55FE8"/>
    <w:rsid w:val="00A56482"/>
    <w:rsid w:val="00A56869"/>
    <w:rsid w:val="00A56BA3"/>
    <w:rsid w:val="00A56C12"/>
    <w:rsid w:val="00A57277"/>
    <w:rsid w:val="00A57375"/>
    <w:rsid w:val="00A573D0"/>
    <w:rsid w:val="00A574AC"/>
    <w:rsid w:val="00A5763D"/>
    <w:rsid w:val="00A57961"/>
    <w:rsid w:val="00A600F7"/>
    <w:rsid w:val="00A6022D"/>
    <w:rsid w:val="00A60313"/>
    <w:rsid w:val="00A6041E"/>
    <w:rsid w:val="00A608D4"/>
    <w:rsid w:val="00A60B58"/>
    <w:rsid w:val="00A60CA5"/>
    <w:rsid w:val="00A611F0"/>
    <w:rsid w:val="00A617F4"/>
    <w:rsid w:val="00A619FA"/>
    <w:rsid w:val="00A61AE0"/>
    <w:rsid w:val="00A62007"/>
    <w:rsid w:val="00A6214A"/>
    <w:rsid w:val="00A621BC"/>
    <w:rsid w:val="00A625BC"/>
    <w:rsid w:val="00A62652"/>
    <w:rsid w:val="00A62DCA"/>
    <w:rsid w:val="00A62E5C"/>
    <w:rsid w:val="00A62EA9"/>
    <w:rsid w:val="00A637D2"/>
    <w:rsid w:val="00A63E63"/>
    <w:rsid w:val="00A6404C"/>
    <w:rsid w:val="00A6437E"/>
    <w:rsid w:val="00A64397"/>
    <w:rsid w:val="00A64746"/>
    <w:rsid w:val="00A64C12"/>
    <w:rsid w:val="00A65094"/>
    <w:rsid w:val="00A65796"/>
    <w:rsid w:val="00A659AF"/>
    <w:rsid w:val="00A659DB"/>
    <w:rsid w:val="00A65CA8"/>
    <w:rsid w:val="00A65CEE"/>
    <w:rsid w:val="00A66119"/>
    <w:rsid w:val="00A6674C"/>
    <w:rsid w:val="00A66B92"/>
    <w:rsid w:val="00A66C88"/>
    <w:rsid w:val="00A66E16"/>
    <w:rsid w:val="00A67232"/>
    <w:rsid w:val="00A672BC"/>
    <w:rsid w:val="00A67A0D"/>
    <w:rsid w:val="00A67A40"/>
    <w:rsid w:val="00A7061D"/>
    <w:rsid w:val="00A7072F"/>
    <w:rsid w:val="00A70A72"/>
    <w:rsid w:val="00A70B09"/>
    <w:rsid w:val="00A70CD9"/>
    <w:rsid w:val="00A7147A"/>
    <w:rsid w:val="00A71BA4"/>
    <w:rsid w:val="00A7203D"/>
    <w:rsid w:val="00A721A7"/>
    <w:rsid w:val="00A7224C"/>
    <w:rsid w:val="00A723F9"/>
    <w:rsid w:val="00A724FB"/>
    <w:rsid w:val="00A72740"/>
    <w:rsid w:val="00A72C0B"/>
    <w:rsid w:val="00A72C72"/>
    <w:rsid w:val="00A72D9F"/>
    <w:rsid w:val="00A72F75"/>
    <w:rsid w:val="00A735A2"/>
    <w:rsid w:val="00A737AC"/>
    <w:rsid w:val="00A73943"/>
    <w:rsid w:val="00A73EFD"/>
    <w:rsid w:val="00A740F6"/>
    <w:rsid w:val="00A74421"/>
    <w:rsid w:val="00A7452D"/>
    <w:rsid w:val="00A74A88"/>
    <w:rsid w:val="00A74BE0"/>
    <w:rsid w:val="00A74EFC"/>
    <w:rsid w:val="00A74F1F"/>
    <w:rsid w:val="00A753FA"/>
    <w:rsid w:val="00A75953"/>
    <w:rsid w:val="00A7610A"/>
    <w:rsid w:val="00A76176"/>
    <w:rsid w:val="00A7630E"/>
    <w:rsid w:val="00A76444"/>
    <w:rsid w:val="00A76597"/>
    <w:rsid w:val="00A768F8"/>
    <w:rsid w:val="00A768FE"/>
    <w:rsid w:val="00A76992"/>
    <w:rsid w:val="00A76CCB"/>
    <w:rsid w:val="00A76CD2"/>
    <w:rsid w:val="00A76E05"/>
    <w:rsid w:val="00A7705D"/>
    <w:rsid w:val="00A7720B"/>
    <w:rsid w:val="00A777BB"/>
    <w:rsid w:val="00A77884"/>
    <w:rsid w:val="00A77A09"/>
    <w:rsid w:val="00A77C47"/>
    <w:rsid w:val="00A77F2F"/>
    <w:rsid w:val="00A80920"/>
    <w:rsid w:val="00A80B25"/>
    <w:rsid w:val="00A80FDC"/>
    <w:rsid w:val="00A80FDD"/>
    <w:rsid w:val="00A814B3"/>
    <w:rsid w:val="00A81588"/>
    <w:rsid w:val="00A8187C"/>
    <w:rsid w:val="00A81DDB"/>
    <w:rsid w:val="00A824FD"/>
    <w:rsid w:val="00A82614"/>
    <w:rsid w:val="00A82B28"/>
    <w:rsid w:val="00A82BA1"/>
    <w:rsid w:val="00A82CA6"/>
    <w:rsid w:val="00A82E1C"/>
    <w:rsid w:val="00A83989"/>
    <w:rsid w:val="00A839A5"/>
    <w:rsid w:val="00A83D86"/>
    <w:rsid w:val="00A83D9D"/>
    <w:rsid w:val="00A8416E"/>
    <w:rsid w:val="00A847A0"/>
    <w:rsid w:val="00A84A2F"/>
    <w:rsid w:val="00A84AF2"/>
    <w:rsid w:val="00A84CD8"/>
    <w:rsid w:val="00A84E27"/>
    <w:rsid w:val="00A850F5"/>
    <w:rsid w:val="00A856B7"/>
    <w:rsid w:val="00A85724"/>
    <w:rsid w:val="00A85D64"/>
    <w:rsid w:val="00A8600C"/>
    <w:rsid w:val="00A86671"/>
    <w:rsid w:val="00A86CB0"/>
    <w:rsid w:val="00A86D3B"/>
    <w:rsid w:val="00A86F0F"/>
    <w:rsid w:val="00A8709F"/>
    <w:rsid w:val="00A87524"/>
    <w:rsid w:val="00A8797D"/>
    <w:rsid w:val="00A87AC1"/>
    <w:rsid w:val="00A87BCE"/>
    <w:rsid w:val="00A90137"/>
    <w:rsid w:val="00A90259"/>
    <w:rsid w:val="00A908EF"/>
    <w:rsid w:val="00A90B9A"/>
    <w:rsid w:val="00A90BDF"/>
    <w:rsid w:val="00A90C91"/>
    <w:rsid w:val="00A90E39"/>
    <w:rsid w:val="00A90EB1"/>
    <w:rsid w:val="00A912DF"/>
    <w:rsid w:val="00A914B0"/>
    <w:rsid w:val="00A91C04"/>
    <w:rsid w:val="00A91F0F"/>
    <w:rsid w:val="00A923DB"/>
    <w:rsid w:val="00A92587"/>
    <w:rsid w:val="00A926E0"/>
    <w:rsid w:val="00A9337C"/>
    <w:rsid w:val="00A9366C"/>
    <w:rsid w:val="00A93759"/>
    <w:rsid w:val="00A93888"/>
    <w:rsid w:val="00A93C9D"/>
    <w:rsid w:val="00A93CD9"/>
    <w:rsid w:val="00A94404"/>
    <w:rsid w:val="00A9498D"/>
    <w:rsid w:val="00A94A36"/>
    <w:rsid w:val="00A94CB5"/>
    <w:rsid w:val="00A94D95"/>
    <w:rsid w:val="00A95068"/>
    <w:rsid w:val="00A950B3"/>
    <w:rsid w:val="00A951C2"/>
    <w:rsid w:val="00A9535F"/>
    <w:rsid w:val="00A9641B"/>
    <w:rsid w:val="00A965EA"/>
    <w:rsid w:val="00A968C9"/>
    <w:rsid w:val="00A973FC"/>
    <w:rsid w:val="00A97430"/>
    <w:rsid w:val="00A97AF1"/>
    <w:rsid w:val="00A97D6A"/>
    <w:rsid w:val="00A97F49"/>
    <w:rsid w:val="00AA0E12"/>
    <w:rsid w:val="00AA10EA"/>
    <w:rsid w:val="00AA187B"/>
    <w:rsid w:val="00AA19A5"/>
    <w:rsid w:val="00AA19F4"/>
    <w:rsid w:val="00AA2102"/>
    <w:rsid w:val="00AA217D"/>
    <w:rsid w:val="00AA25A3"/>
    <w:rsid w:val="00AA25EA"/>
    <w:rsid w:val="00AA25F1"/>
    <w:rsid w:val="00AA267F"/>
    <w:rsid w:val="00AA31E3"/>
    <w:rsid w:val="00AA367B"/>
    <w:rsid w:val="00AA37DC"/>
    <w:rsid w:val="00AA4054"/>
    <w:rsid w:val="00AA42FF"/>
    <w:rsid w:val="00AA4319"/>
    <w:rsid w:val="00AA4431"/>
    <w:rsid w:val="00AA481E"/>
    <w:rsid w:val="00AA5A16"/>
    <w:rsid w:val="00AA5EF2"/>
    <w:rsid w:val="00AA6412"/>
    <w:rsid w:val="00AA671D"/>
    <w:rsid w:val="00AA67DC"/>
    <w:rsid w:val="00AA6861"/>
    <w:rsid w:val="00AA6B77"/>
    <w:rsid w:val="00AA6C25"/>
    <w:rsid w:val="00AA6E4B"/>
    <w:rsid w:val="00AA74A3"/>
    <w:rsid w:val="00AA7909"/>
    <w:rsid w:val="00AA7A33"/>
    <w:rsid w:val="00AB0E02"/>
    <w:rsid w:val="00AB208A"/>
    <w:rsid w:val="00AB245D"/>
    <w:rsid w:val="00AB249B"/>
    <w:rsid w:val="00AB24FE"/>
    <w:rsid w:val="00AB2694"/>
    <w:rsid w:val="00AB280C"/>
    <w:rsid w:val="00AB2830"/>
    <w:rsid w:val="00AB2DEF"/>
    <w:rsid w:val="00AB2EDD"/>
    <w:rsid w:val="00AB317B"/>
    <w:rsid w:val="00AB34F4"/>
    <w:rsid w:val="00AB38BF"/>
    <w:rsid w:val="00AB3DB5"/>
    <w:rsid w:val="00AB4131"/>
    <w:rsid w:val="00AB4502"/>
    <w:rsid w:val="00AB4B6C"/>
    <w:rsid w:val="00AB4C71"/>
    <w:rsid w:val="00AB4C9B"/>
    <w:rsid w:val="00AB4E4C"/>
    <w:rsid w:val="00AB4FFB"/>
    <w:rsid w:val="00AB5451"/>
    <w:rsid w:val="00AB576E"/>
    <w:rsid w:val="00AB5EEB"/>
    <w:rsid w:val="00AB5EF5"/>
    <w:rsid w:val="00AB5F99"/>
    <w:rsid w:val="00AB676E"/>
    <w:rsid w:val="00AB70C3"/>
    <w:rsid w:val="00AB7528"/>
    <w:rsid w:val="00AB764A"/>
    <w:rsid w:val="00AB782C"/>
    <w:rsid w:val="00AB7AB0"/>
    <w:rsid w:val="00AC019F"/>
    <w:rsid w:val="00AC03F3"/>
    <w:rsid w:val="00AC0447"/>
    <w:rsid w:val="00AC080F"/>
    <w:rsid w:val="00AC0A15"/>
    <w:rsid w:val="00AC0A19"/>
    <w:rsid w:val="00AC0D52"/>
    <w:rsid w:val="00AC10C8"/>
    <w:rsid w:val="00AC1139"/>
    <w:rsid w:val="00AC12B6"/>
    <w:rsid w:val="00AC195B"/>
    <w:rsid w:val="00AC1BC3"/>
    <w:rsid w:val="00AC20CE"/>
    <w:rsid w:val="00AC2285"/>
    <w:rsid w:val="00AC2479"/>
    <w:rsid w:val="00AC25F4"/>
    <w:rsid w:val="00AC25FF"/>
    <w:rsid w:val="00AC285B"/>
    <w:rsid w:val="00AC2956"/>
    <w:rsid w:val="00AC2F3D"/>
    <w:rsid w:val="00AC3515"/>
    <w:rsid w:val="00AC36EF"/>
    <w:rsid w:val="00AC372D"/>
    <w:rsid w:val="00AC392F"/>
    <w:rsid w:val="00AC4DDD"/>
    <w:rsid w:val="00AC4E16"/>
    <w:rsid w:val="00AC5522"/>
    <w:rsid w:val="00AC55F7"/>
    <w:rsid w:val="00AC57FA"/>
    <w:rsid w:val="00AC5A2E"/>
    <w:rsid w:val="00AC5B33"/>
    <w:rsid w:val="00AC5BBA"/>
    <w:rsid w:val="00AC5D0D"/>
    <w:rsid w:val="00AC5D9D"/>
    <w:rsid w:val="00AC5DD1"/>
    <w:rsid w:val="00AC619C"/>
    <w:rsid w:val="00AC6487"/>
    <w:rsid w:val="00AC65DB"/>
    <w:rsid w:val="00AC65E2"/>
    <w:rsid w:val="00AC6C25"/>
    <w:rsid w:val="00AC7254"/>
    <w:rsid w:val="00AC7625"/>
    <w:rsid w:val="00AC7A0B"/>
    <w:rsid w:val="00AC7B29"/>
    <w:rsid w:val="00AD02D9"/>
    <w:rsid w:val="00AD06E0"/>
    <w:rsid w:val="00AD070F"/>
    <w:rsid w:val="00AD0B3B"/>
    <w:rsid w:val="00AD0B50"/>
    <w:rsid w:val="00AD0E18"/>
    <w:rsid w:val="00AD11AD"/>
    <w:rsid w:val="00AD17DC"/>
    <w:rsid w:val="00AD1C2A"/>
    <w:rsid w:val="00AD244B"/>
    <w:rsid w:val="00AD24A9"/>
    <w:rsid w:val="00AD25A2"/>
    <w:rsid w:val="00AD27BF"/>
    <w:rsid w:val="00AD27C7"/>
    <w:rsid w:val="00AD2807"/>
    <w:rsid w:val="00AD2970"/>
    <w:rsid w:val="00AD2A57"/>
    <w:rsid w:val="00AD2F51"/>
    <w:rsid w:val="00AD2FBA"/>
    <w:rsid w:val="00AD2FFF"/>
    <w:rsid w:val="00AD3200"/>
    <w:rsid w:val="00AD347A"/>
    <w:rsid w:val="00AD35DB"/>
    <w:rsid w:val="00AD385B"/>
    <w:rsid w:val="00AD3880"/>
    <w:rsid w:val="00AD3CE7"/>
    <w:rsid w:val="00AD3DAD"/>
    <w:rsid w:val="00AD40B0"/>
    <w:rsid w:val="00AD419E"/>
    <w:rsid w:val="00AD45EA"/>
    <w:rsid w:val="00AD468C"/>
    <w:rsid w:val="00AD4860"/>
    <w:rsid w:val="00AD4B06"/>
    <w:rsid w:val="00AD4C51"/>
    <w:rsid w:val="00AD4E47"/>
    <w:rsid w:val="00AD5241"/>
    <w:rsid w:val="00AD58D4"/>
    <w:rsid w:val="00AD59DA"/>
    <w:rsid w:val="00AD5AE7"/>
    <w:rsid w:val="00AD5D01"/>
    <w:rsid w:val="00AD6282"/>
    <w:rsid w:val="00AD6496"/>
    <w:rsid w:val="00AD6638"/>
    <w:rsid w:val="00AD6744"/>
    <w:rsid w:val="00AD6B6B"/>
    <w:rsid w:val="00AD711E"/>
    <w:rsid w:val="00AD7460"/>
    <w:rsid w:val="00AD7493"/>
    <w:rsid w:val="00AD7B3A"/>
    <w:rsid w:val="00AD7EC7"/>
    <w:rsid w:val="00AE006F"/>
    <w:rsid w:val="00AE01DB"/>
    <w:rsid w:val="00AE024C"/>
    <w:rsid w:val="00AE049C"/>
    <w:rsid w:val="00AE067D"/>
    <w:rsid w:val="00AE07AB"/>
    <w:rsid w:val="00AE148D"/>
    <w:rsid w:val="00AE1C27"/>
    <w:rsid w:val="00AE21A7"/>
    <w:rsid w:val="00AE2728"/>
    <w:rsid w:val="00AE2BA2"/>
    <w:rsid w:val="00AE3073"/>
    <w:rsid w:val="00AE30BE"/>
    <w:rsid w:val="00AE35D0"/>
    <w:rsid w:val="00AE36EC"/>
    <w:rsid w:val="00AE394F"/>
    <w:rsid w:val="00AE3AA7"/>
    <w:rsid w:val="00AE3D71"/>
    <w:rsid w:val="00AE479D"/>
    <w:rsid w:val="00AE4AE7"/>
    <w:rsid w:val="00AE4F73"/>
    <w:rsid w:val="00AE517B"/>
    <w:rsid w:val="00AE56BE"/>
    <w:rsid w:val="00AE5AA6"/>
    <w:rsid w:val="00AE6077"/>
    <w:rsid w:val="00AE6B15"/>
    <w:rsid w:val="00AE7232"/>
    <w:rsid w:val="00AE744F"/>
    <w:rsid w:val="00AE7A28"/>
    <w:rsid w:val="00AE7C2A"/>
    <w:rsid w:val="00AE7CA4"/>
    <w:rsid w:val="00AF005A"/>
    <w:rsid w:val="00AF06D9"/>
    <w:rsid w:val="00AF10C2"/>
    <w:rsid w:val="00AF129E"/>
    <w:rsid w:val="00AF1368"/>
    <w:rsid w:val="00AF18EB"/>
    <w:rsid w:val="00AF199C"/>
    <w:rsid w:val="00AF1AD5"/>
    <w:rsid w:val="00AF2109"/>
    <w:rsid w:val="00AF2252"/>
    <w:rsid w:val="00AF2268"/>
    <w:rsid w:val="00AF25E4"/>
    <w:rsid w:val="00AF2DD4"/>
    <w:rsid w:val="00AF3170"/>
    <w:rsid w:val="00AF3596"/>
    <w:rsid w:val="00AF3764"/>
    <w:rsid w:val="00AF37DC"/>
    <w:rsid w:val="00AF3936"/>
    <w:rsid w:val="00AF3B17"/>
    <w:rsid w:val="00AF3B97"/>
    <w:rsid w:val="00AF4A37"/>
    <w:rsid w:val="00AF5259"/>
    <w:rsid w:val="00AF536A"/>
    <w:rsid w:val="00AF547B"/>
    <w:rsid w:val="00AF56B3"/>
    <w:rsid w:val="00AF5705"/>
    <w:rsid w:val="00AF5FF4"/>
    <w:rsid w:val="00AF69BE"/>
    <w:rsid w:val="00AF6CE5"/>
    <w:rsid w:val="00AF6FAE"/>
    <w:rsid w:val="00AF764E"/>
    <w:rsid w:val="00AF7712"/>
    <w:rsid w:val="00AF77D0"/>
    <w:rsid w:val="00AF7955"/>
    <w:rsid w:val="00AF7B0B"/>
    <w:rsid w:val="00AF7BFA"/>
    <w:rsid w:val="00B00408"/>
    <w:rsid w:val="00B005BD"/>
    <w:rsid w:val="00B009E6"/>
    <w:rsid w:val="00B00D54"/>
    <w:rsid w:val="00B00F2D"/>
    <w:rsid w:val="00B00F8C"/>
    <w:rsid w:val="00B0139D"/>
    <w:rsid w:val="00B01566"/>
    <w:rsid w:val="00B01AB2"/>
    <w:rsid w:val="00B01B35"/>
    <w:rsid w:val="00B02219"/>
    <w:rsid w:val="00B02312"/>
    <w:rsid w:val="00B0233C"/>
    <w:rsid w:val="00B023FE"/>
    <w:rsid w:val="00B0273C"/>
    <w:rsid w:val="00B030DA"/>
    <w:rsid w:val="00B035B0"/>
    <w:rsid w:val="00B0364E"/>
    <w:rsid w:val="00B0368A"/>
    <w:rsid w:val="00B0384B"/>
    <w:rsid w:val="00B039D2"/>
    <w:rsid w:val="00B039E0"/>
    <w:rsid w:val="00B048AD"/>
    <w:rsid w:val="00B04922"/>
    <w:rsid w:val="00B049B4"/>
    <w:rsid w:val="00B04B4A"/>
    <w:rsid w:val="00B04B82"/>
    <w:rsid w:val="00B04C89"/>
    <w:rsid w:val="00B04F72"/>
    <w:rsid w:val="00B05AF2"/>
    <w:rsid w:val="00B05D8A"/>
    <w:rsid w:val="00B05ED3"/>
    <w:rsid w:val="00B061DA"/>
    <w:rsid w:val="00B06221"/>
    <w:rsid w:val="00B068F2"/>
    <w:rsid w:val="00B06A02"/>
    <w:rsid w:val="00B074A4"/>
    <w:rsid w:val="00B079D6"/>
    <w:rsid w:val="00B07E0C"/>
    <w:rsid w:val="00B07E1D"/>
    <w:rsid w:val="00B07F54"/>
    <w:rsid w:val="00B07F7E"/>
    <w:rsid w:val="00B10670"/>
    <w:rsid w:val="00B1079A"/>
    <w:rsid w:val="00B10980"/>
    <w:rsid w:val="00B10D74"/>
    <w:rsid w:val="00B10DD0"/>
    <w:rsid w:val="00B10F13"/>
    <w:rsid w:val="00B1126C"/>
    <w:rsid w:val="00B1131D"/>
    <w:rsid w:val="00B11766"/>
    <w:rsid w:val="00B120A0"/>
    <w:rsid w:val="00B12D57"/>
    <w:rsid w:val="00B12DE7"/>
    <w:rsid w:val="00B12E4A"/>
    <w:rsid w:val="00B1395A"/>
    <w:rsid w:val="00B13B34"/>
    <w:rsid w:val="00B13FCD"/>
    <w:rsid w:val="00B1411E"/>
    <w:rsid w:val="00B1462D"/>
    <w:rsid w:val="00B15416"/>
    <w:rsid w:val="00B155C2"/>
    <w:rsid w:val="00B15C52"/>
    <w:rsid w:val="00B15ED1"/>
    <w:rsid w:val="00B16023"/>
    <w:rsid w:val="00B1614A"/>
    <w:rsid w:val="00B16C90"/>
    <w:rsid w:val="00B1738D"/>
    <w:rsid w:val="00B174E2"/>
    <w:rsid w:val="00B17920"/>
    <w:rsid w:val="00B179D7"/>
    <w:rsid w:val="00B17D8A"/>
    <w:rsid w:val="00B20193"/>
    <w:rsid w:val="00B20C18"/>
    <w:rsid w:val="00B20D96"/>
    <w:rsid w:val="00B210E9"/>
    <w:rsid w:val="00B2148B"/>
    <w:rsid w:val="00B216F5"/>
    <w:rsid w:val="00B22221"/>
    <w:rsid w:val="00B222CF"/>
    <w:rsid w:val="00B224A1"/>
    <w:rsid w:val="00B228D7"/>
    <w:rsid w:val="00B22EAF"/>
    <w:rsid w:val="00B22FB4"/>
    <w:rsid w:val="00B23521"/>
    <w:rsid w:val="00B235D8"/>
    <w:rsid w:val="00B23876"/>
    <w:rsid w:val="00B23C0B"/>
    <w:rsid w:val="00B23C95"/>
    <w:rsid w:val="00B24039"/>
    <w:rsid w:val="00B24217"/>
    <w:rsid w:val="00B24315"/>
    <w:rsid w:val="00B2460B"/>
    <w:rsid w:val="00B246A6"/>
    <w:rsid w:val="00B2544D"/>
    <w:rsid w:val="00B25570"/>
    <w:rsid w:val="00B257E8"/>
    <w:rsid w:val="00B25AF3"/>
    <w:rsid w:val="00B25C0A"/>
    <w:rsid w:val="00B25E94"/>
    <w:rsid w:val="00B25FAA"/>
    <w:rsid w:val="00B260B0"/>
    <w:rsid w:val="00B262FD"/>
    <w:rsid w:val="00B26523"/>
    <w:rsid w:val="00B26588"/>
    <w:rsid w:val="00B266D4"/>
    <w:rsid w:val="00B26A06"/>
    <w:rsid w:val="00B26ABC"/>
    <w:rsid w:val="00B26C05"/>
    <w:rsid w:val="00B26D85"/>
    <w:rsid w:val="00B26DE8"/>
    <w:rsid w:val="00B276CB"/>
    <w:rsid w:val="00B30940"/>
    <w:rsid w:val="00B30ACB"/>
    <w:rsid w:val="00B31273"/>
    <w:rsid w:val="00B312E4"/>
    <w:rsid w:val="00B3150E"/>
    <w:rsid w:val="00B317A7"/>
    <w:rsid w:val="00B31991"/>
    <w:rsid w:val="00B31CBB"/>
    <w:rsid w:val="00B31DE6"/>
    <w:rsid w:val="00B3246B"/>
    <w:rsid w:val="00B32E9A"/>
    <w:rsid w:val="00B33062"/>
    <w:rsid w:val="00B3336C"/>
    <w:rsid w:val="00B333FD"/>
    <w:rsid w:val="00B33D4A"/>
    <w:rsid w:val="00B33E46"/>
    <w:rsid w:val="00B33E94"/>
    <w:rsid w:val="00B341C4"/>
    <w:rsid w:val="00B34456"/>
    <w:rsid w:val="00B348D1"/>
    <w:rsid w:val="00B34E80"/>
    <w:rsid w:val="00B34EC2"/>
    <w:rsid w:val="00B350BB"/>
    <w:rsid w:val="00B3548C"/>
    <w:rsid w:val="00B35879"/>
    <w:rsid w:val="00B35C75"/>
    <w:rsid w:val="00B35CB4"/>
    <w:rsid w:val="00B35D2A"/>
    <w:rsid w:val="00B35E34"/>
    <w:rsid w:val="00B36EC7"/>
    <w:rsid w:val="00B374C0"/>
    <w:rsid w:val="00B37CD8"/>
    <w:rsid w:val="00B37D26"/>
    <w:rsid w:val="00B37DF2"/>
    <w:rsid w:val="00B37EED"/>
    <w:rsid w:val="00B37F85"/>
    <w:rsid w:val="00B406B5"/>
    <w:rsid w:val="00B40727"/>
    <w:rsid w:val="00B40AA9"/>
    <w:rsid w:val="00B41373"/>
    <w:rsid w:val="00B4157E"/>
    <w:rsid w:val="00B41739"/>
    <w:rsid w:val="00B417DA"/>
    <w:rsid w:val="00B418F9"/>
    <w:rsid w:val="00B41B87"/>
    <w:rsid w:val="00B41BFF"/>
    <w:rsid w:val="00B41C36"/>
    <w:rsid w:val="00B4298C"/>
    <w:rsid w:val="00B42B83"/>
    <w:rsid w:val="00B42BBF"/>
    <w:rsid w:val="00B42E7D"/>
    <w:rsid w:val="00B43A1D"/>
    <w:rsid w:val="00B43D10"/>
    <w:rsid w:val="00B43DB7"/>
    <w:rsid w:val="00B43ED8"/>
    <w:rsid w:val="00B44228"/>
    <w:rsid w:val="00B44555"/>
    <w:rsid w:val="00B44A70"/>
    <w:rsid w:val="00B44BB0"/>
    <w:rsid w:val="00B44D54"/>
    <w:rsid w:val="00B45228"/>
    <w:rsid w:val="00B45298"/>
    <w:rsid w:val="00B45307"/>
    <w:rsid w:val="00B45B89"/>
    <w:rsid w:val="00B460C2"/>
    <w:rsid w:val="00B46F81"/>
    <w:rsid w:val="00B50076"/>
    <w:rsid w:val="00B50387"/>
    <w:rsid w:val="00B505DE"/>
    <w:rsid w:val="00B50798"/>
    <w:rsid w:val="00B509C8"/>
    <w:rsid w:val="00B50A84"/>
    <w:rsid w:val="00B50C3C"/>
    <w:rsid w:val="00B50DAF"/>
    <w:rsid w:val="00B50EE3"/>
    <w:rsid w:val="00B513CF"/>
    <w:rsid w:val="00B51624"/>
    <w:rsid w:val="00B51C78"/>
    <w:rsid w:val="00B52217"/>
    <w:rsid w:val="00B525BA"/>
    <w:rsid w:val="00B52764"/>
    <w:rsid w:val="00B53225"/>
    <w:rsid w:val="00B533E5"/>
    <w:rsid w:val="00B53557"/>
    <w:rsid w:val="00B53893"/>
    <w:rsid w:val="00B53A05"/>
    <w:rsid w:val="00B53BD6"/>
    <w:rsid w:val="00B53DA8"/>
    <w:rsid w:val="00B53FB6"/>
    <w:rsid w:val="00B5412F"/>
    <w:rsid w:val="00B54160"/>
    <w:rsid w:val="00B544BD"/>
    <w:rsid w:val="00B54D9C"/>
    <w:rsid w:val="00B55640"/>
    <w:rsid w:val="00B5658B"/>
    <w:rsid w:val="00B56CB4"/>
    <w:rsid w:val="00B56CED"/>
    <w:rsid w:val="00B56CF9"/>
    <w:rsid w:val="00B5711D"/>
    <w:rsid w:val="00B57C06"/>
    <w:rsid w:val="00B57C47"/>
    <w:rsid w:val="00B60ACE"/>
    <w:rsid w:val="00B60B55"/>
    <w:rsid w:val="00B61232"/>
    <w:rsid w:val="00B61802"/>
    <w:rsid w:val="00B61A40"/>
    <w:rsid w:val="00B62377"/>
    <w:rsid w:val="00B626ED"/>
    <w:rsid w:val="00B62835"/>
    <w:rsid w:val="00B62B9E"/>
    <w:rsid w:val="00B62E4F"/>
    <w:rsid w:val="00B6330C"/>
    <w:rsid w:val="00B63654"/>
    <w:rsid w:val="00B63A67"/>
    <w:rsid w:val="00B64059"/>
    <w:rsid w:val="00B64165"/>
    <w:rsid w:val="00B64238"/>
    <w:rsid w:val="00B645D1"/>
    <w:rsid w:val="00B64863"/>
    <w:rsid w:val="00B64BB0"/>
    <w:rsid w:val="00B64D23"/>
    <w:rsid w:val="00B64EE5"/>
    <w:rsid w:val="00B64FE6"/>
    <w:rsid w:val="00B653D1"/>
    <w:rsid w:val="00B655DF"/>
    <w:rsid w:val="00B65632"/>
    <w:rsid w:val="00B65931"/>
    <w:rsid w:val="00B65965"/>
    <w:rsid w:val="00B65990"/>
    <w:rsid w:val="00B659FA"/>
    <w:rsid w:val="00B65A68"/>
    <w:rsid w:val="00B65D92"/>
    <w:rsid w:val="00B662F8"/>
    <w:rsid w:val="00B66309"/>
    <w:rsid w:val="00B6656A"/>
    <w:rsid w:val="00B66A48"/>
    <w:rsid w:val="00B66AF2"/>
    <w:rsid w:val="00B66BA8"/>
    <w:rsid w:val="00B673B0"/>
    <w:rsid w:val="00B67558"/>
    <w:rsid w:val="00B677EA"/>
    <w:rsid w:val="00B67B1D"/>
    <w:rsid w:val="00B67BC3"/>
    <w:rsid w:val="00B700CB"/>
    <w:rsid w:val="00B702BD"/>
    <w:rsid w:val="00B702FB"/>
    <w:rsid w:val="00B7061A"/>
    <w:rsid w:val="00B7061D"/>
    <w:rsid w:val="00B709A7"/>
    <w:rsid w:val="00B70C2A"/>
    <w:rsid w:val="00B71C05"/>
    <w:rsid w:val="00B71DBE"/>
    <w:rsid w:val="00B7211C"/>
    <w:rsid w:val="00B7225D"/>
    <w:rsid w:val="00B72446"/>
    <w:rsid w:val="00B72B04"/>
    <w:rsid w:val="00B72C3B"/>
    <w:rsid w:val="00B73056"/>
    <w:rsid w:val="00B7359A"/>
    <w:rsid w:val="00B7370D"/>
    <w:rsid w:val="00B73AE3"/>
    <w:rsid w:val="00B73F25"/>
    <w:rsid w:val="00B7433E"/>
    <w:rsid w:val="00B7451C"/>
    <w:rsid w:val="00B746D3"/>
    <w:rsid w:val="00B752B2"/>
    <w:rsid w:val="00B75439"/>
    <w:rsid w:val="00B7565D"/>
    <w:rsid w:val="00B7571E"/>
    <w:rsid w:val="00B75A44"/>
    <w:rsid w:val="00B75B98"/>
    <w:rsid w:val="00B75C33"/>
    <w:rsid w:val="00B75E6E"/>
    <w:rsid w:val="00B75F4C"/>
    <w:rsid w:val="00B760D7"/>
    <w:rsid w:val="00B766A3"/>
    <w:rsid w:val="00B77089"/>
    <w:rsid w:val="00B7714D"/>
    <w:rsid w:val="00B77387"/>
    <w:rsid w:val="00B773EF"/>
    <w:rsid w:val="00B77707"/>
    <w:rsid w:val="00B80695"/>
    <w:rsid w:val="00B8084A"/>
    <w:rsid w:val="00B80FAB"/>
    <w:rsid w:val="00B8148E"/>
    <w:rsid w:val="00B816DC"/>
    <w:rsid w:val="00B818F5"/>
    <w:rsid w:val="00B8195C"/>
    <w:rsid w:val="00B81C85"/>
    <w:rsid w:val="00B81E56"/>
    <w:rsid w:val="00B8210F"/>
    <w:rsid w:val="00B822F1"/>
    <w:rsid w:val="00B82661"/>
    <w:rsid w:val="00B82F84"/>
    <w:rsid w:val="00B82F99"/>
    <w:rsid w:val="00B83486"/>
    <w:rsid w:val="00B83A45"/>
    <w:rsid w:val="00B83AD5"/>
    <w:rsid w:val="00B83D4C"/>
    <w:rsid w:val="00B8430A"/>
    <w:rsid w:val="00B844A8"/>
    <w:rsid w:val="00B844EA"/>
    <w:rsid w:val="00B848C5"/>
    <w:rsid w:val="00B84C1C"/>
    <w:rsid w:val="00B84D38"/>
    <w:rsid w:val="00B84F65"/>
    <w:rsid w:val="00B8503F"/>
    <w:rsid w:val="00B850AA"/>
    <w:rsid w:val="00B8533B"/>
    <w:rsid w:val="00B85591"/>
    <w:rsid w:val="00B85597"/>
    <w:rsid w:val="00B85840"/>
    <w:rsid w:val="00B85AE9"/>
    <w:rsid w:val="00B85B00"/>
    <w:rsid w:val="00B85C15"/>
    <w:rsid w:val="00B85EC1"/>
    <w:rsid w:val="00B863B1"/>
    <w:rsid w:val="00B864B9"/>
    <w:rsid w:val="00B86659"/>
    <w:rsid w:val="00B86D93"/>
    <w:rsid w:val="00B871DB"/>
    <w:rsid w:val="00B874FB"/>
    <w:rsid w:val="00B8793D"/>
    <w:rsid w:val="00B87966"/>
    <w:rsid w:val="00B87F56"/>
    <w:rsid w:val="00B90083"/>
    <w:rsid w:val="00B907B3"/>
    <w:rsid w:val="00B9080E"/>
    <w:rsid w:val="00B90976"/>
    <w:rsid w:val="00B90A1A"/>
    <w:rsid w:val="00B90E8B"/>
    <w:rsid w:val="00B91432"/>
    <w:rsid w:val="00B91633"/>
    <w:rsid w:val="00B917D2"/>
    <w:rsid w:val="00B91A31"/>
    <w:rsid w:val="00B92502"/>
    <w:rsid w:val="00B92B09"/>
    <w:rsid w:val="00B92B0D"/>
    <w:rsid w:val="00B92B1B"/>
    <w:rsid w:val="00B92CF1"/>
    <w:rsid w:val="00B931F3"/>
    <w:rsid w:val="00B9323B"/>
    <w:rsid w:val="00B93313"/>
    <w:rsid w:val="00B9379E"/>
    <w:rsid w:val="00B9435A"/>
    <w:rsid w:val="00B94AB6"/>
    <w:rsid w:val="00B94C17"/>
    <w:rsid w:val="00B94CFE"/>
    <w:rsid w:val="00B951C0"/>
    <w:rsid w:val="00B951E0"/>
    <w:rsid w:val="00B953A1"/>
    <w:rsid w:val="00B953E1"/>
    <w:rsid w:val="00B9548B"/>
    <w:rsid w:val="00B95A94"/>
    <w:rsid w:val="00B95F57"/>
    <w:rsid w:val="00B964BA"/>
    <w:rsid w:val="00B964C0"/>
    <w:rsid w:val="00B97108"/>
    <w:rsid w:val="00B972D2"/>
    <w:rsid w:val="00B9735A"/>
    <w:rsid w:val="00B9754E"/>
    <w:rsid w:val="00B97590"/>
    <w:rsid w:val="00B97756"/>
    <w:rsid w:val="00B9794A"/>
    <w:rsid w:val="00B97BE2"/>
    <w:rsid w:val="00B97BE4"/>
    <w:rsid w:val="00BA0527"/>
    <w:rsid w:val="00BA08D3"/>
    <w:rsid w:val="00BA13ED"/>
    <w:rsid w:val="00BA1AE6"/>
    <w:rsid w:val="00BA1C71"/>
    <w:rsid w:val="00BA1E1E"/>
    <w:rsid w:val="00BA1F8C"/>
    <w:rsid w:val="00BA25C7"/>
    <w:rsid w:val="00BA2B14"/>
    <w:rsid w:val="00BA3099"/>
    <w:rsid w:val="00BA344C"/>
    <w:rsid w:val="00BA3452"/>
    <w:rsid w:val="00BA40F3"/>
    <w:rsid w:val="00BA49CB"/>
    <w:rsid w:val="00BA4B94"/>
    <w:rsid w:val="00BA5DF6"/>
    <w:rsid w:val="00BA5F54"/>
    <w:rsid w:val="00BA6158"/>
    <w:rsid w:val="00BA6658"/>
    <w:rsid w:val="00BA6A06"/>
    <w:rsid w:val="00BA6B39"/>
    <w:rsid w:val="00BA6D5E"/>
    <w:rsid w:val="00BA712F"/>
    <w:rsid w:val="00BA7430"/>
    <w:rsid w:val="00BA7E65"/>
    <w:rsid w:val="00BB0327"/>
    <w:rsid w:val="00BB0797"/>
    <w:rsid w:val="00BB0AAA"/>
    <w:rsid w:val="00BB0D2C"/>
    <w:rsid w:val="00BB0EE4"/>
    <w:rsid w:val="00BB1144"/>
    <w:rsid w:val="00BB114E"/>
    <w:rsid w:val="00BB2203"/>
    <w:rsid w:val="00BB26A3"/>
    <w:rsid w:val="00BB2837"/>
    <w:rsid w:val="00BB2A1C"/>
    <w:rsid w:val="00BB2B2F"/>
    <w:rsid w:val="00BB2F56"/>
    <w:rsid w:val="00BB2FD6"/>
    <w:rsid w:val="00BB3133"/>
    <w:rsid w:val="00BB33F5"/>
    <w:rsid w:val="00BB35F6"/>
    <w:rsid w:val="00BB3BBA"/>
    <w:rsid w:val="00BB3BDC"/>
    <w:rsid w:val="00BB3DA9"/>
    <w:rsid w:val="00BB3DAB"/>
    <w:rsid w:val="00BB3DB6"/>
    <w:rsid w:val="00BB41EB"/>
    <w:rsid w:val="00BB46A0"/>
    <w:rsid w:val="00BB4945"/>
    <w:rsid w:val="00BB4A0A"/>
    <w:rsid w:val="00BB5228"/>
    <w:rsid w:val="00BB5353"/>
    <w:rsid w:val="00BB60BF"/>
    <w:rsid w:val="00BB611B"/>
    <w:rsid w:val="00BB62AD"/>
    <w:rsid w:val="00BB64F4"/>
    <w:rsid w:val="00BB6618"/>
    <w:rsid w:val="00BB6B33"/>
    <w:rsid w:val="00BB6CE7"/>
    <w:rsid w:val="00BB6F2C"/>
    <w:rsid w:val="00BB6FC8"/>
    <w:rsid w:val="00BB723F"/>
    <w:rsid w:val="00BB72D2"/>
    <w:rsid w:val="00BB736A"/>
    <w:rsid w:val="00BB738E"/>
    <w:rsid w:val="00BB7678"/>
    <w:rsid w:val="00BB7E93"/>
    <w:rsid w:val="00BB7FE2"/>
    <w:rsid w:val="00BC010F"/>
    <w:rsid w:val="00BC048F"/>
    <w:rsid w:val="00BC05BE"/>
    <w:rsid w:val="00BC0C44"/>
    <w:rsid w:val="00BC0E88"/>
    <w:rsid w:val="00BC12F4"/>
    <w:rsid w:val="00BC164F"/>
    <w:rsid w:val="00BC22FE"/>
    <w:rsid w:val="00BC2607"/>
    <w:rsid w:val="00BC2B2C"/>
    <w:rsid w:val="00BC2C7B"/>
    <w:rsid w:val="00BC2DB1"/>
    <w:rsid w:val="00BC2E58"/>
    <w:rsid w:val="00BC3B10"/>
    <w:rsid w:val="00BC3B66"/>
    <w:rsid w:val="00BC42B9"/>
    <w:rsid w:val="00BC4732"/>
    <w:rsid w:val="00BC47A2"/>
    <w:rsid w:val="00BC4A1C"/>
    <w:rsid w:val="00BC54C7"/>
    <w:rsid w:val="00BC5686"/>
    <w:rsid w:val="00BC598B"/>
    <w:rsid w:val="00BC5D0B"/>
    <w:rsid w:val="00BC5E09"/>
    <w:rsid w:val="00BC5E1A"/>
    <w:rsid w:val="00BC683E"/>
    <w:rsid w:val="00BC689E"/>
    <w:rsid w:val="00BC6986"/>
    <w:rsid w:val="00BC6A07"/>
    <w:rsid w:val="00BC6A2E"/>
    <w:rsid w:val="00BC6DE6"/>
    <w:rsid w:val="00BC7E2F"/>
    <w:rsid w:val="00BC7E8E"/>
    <w:rsid w:val="00BD0412"/>
    <w:rsid w:val="00BD045C"/>
    <w:rsid w:val="00BD0469"/>
    <w:rsid w:val="00BD122E"/>
    <w:rsid w:val="00BD165B"/>
    <w:rsid w:val="00BD177A"/>
    <w:rsid w:val="00BD1F21"/>
    <w:rsid w:val="00BD1FD7"/>
    <w:rsid w:val="00BD2814"/>
    <w:rsid w:val="00BD2AF5"/>
    <w:rsid w:val="00BD2FE8"/>
    <w:rsid w:val="00BD300B"/>
    <w:rsid w:val="00BD31DA"/>
    <w:rsid w:val="00BD3333"/>
    <w:rsid w:val="00BD3743"/>
    <w:rsid w:val="00BD3788"/>
    <w:rsid w:val="00BD3820"/>
    <w:rsid w:val="00BD3926"/>
    <w:rsid w:val="00BD3944"/>
    <w:rsid w:val="00BD3EFD"/>
    <w:rsid w:val="00BD4845"/>
    <w:rsid w:val="00BD485B"/>
    <w:rsid w:val="00BD4E00"/>
    <w:rsid w:val="00BD4FE2"/>
    <w:rsid w:val="00BD5585"/>
    <w:rsid w:val="00BD6445"/>
    <w:rsid w:val="00BD6688"/>
    <w:rsid w:val="00BD6C74"/>
    <w:rsid w:val="00BD77BB"/>
    <w:rsid w:val="00BD77D3"/>
    <w:rsid w:val="00BD7A82"/>
    <w:rsid w:val="00BE0B6A"/>
    <w:rsid w:val="00BE0E59"/>
    <w:rsid w:val="00BE1028"/>
    <w:rsid w:val="00BE1C43"/>
    <w:rsid w:val="00BE1ED3"/>
    <w:rsid w:val="00BE1EF9"/>
    <w:rsid w:val="00BE2030"/>
    <w:rsid w:val="00BE20C5"/>
    <w:rsid w:val="00BE26E5"/>
    <w:rsid w:val="00BE2762"/>
    <w:rsid w:val="00BE286F"/>
    <w:rsid w:val="00BE28DF"/>
    <w:rsid w:val="00BE29E6"/>
    <w:rsid w:val="00BE2D0D"/>
    <w:rsid w:val="00BE3076"/>
    <w:rsid w:val="00BE3212"/>
    <w:rsid w:val="00BE398D"/>
    <w:rsid w:val="00BE3F50"/>
    <w:rsid w:val="00BE3F6A"/>
    <w:rsid w:val="00BE44C6"/>
    <w:rsid w:val="00BE4589"/>
    <w:rsid w:val="00BE4746"/>
    <w:rsid w:val="00BE4968"/>
    <w:rsid w:val="00BE4A1A"/>
    <w:rsid w:val="00BE4BD6"/>
    <w:rsid w:val="00BE4E46"/>
    <w:rsid w:val="00BE50FC"/>
    <w:rsid w:val="00BE5796"/>
    <w:rsid w:val="00BE5837"/>
    <w:rsid w:val="00BE598F"/>
    <w:rsid w:val="00BE6042"/>
    <w:rsid w:val="00BE663C"/>
    <w:rsid w:val="00BE670F"/>
    <w:rsid w:val="00BE673C"/>
    <w:rsid w:val="00BE6841"/>
    <w:rsid w:val="00BE69A1"/>
    <w:rsid w:val="00BE6A19"/>
    <w:rsid w:val="00BE6AAF"/>
    <w:rsid w:val="00BE6BEB"/>
    <w:rsid w:val="00BE6C60"/>
    <w:rsid w:val="00BE6D03"/>
    <w:rsid w:val="00BE6EC9"/>
    <w:rsid w:val="00BE7568"/>
    <w:rsid w:val="00BE7EC2"/>
    <w:rsid w:val="00BF0A7B"/>
    <w:rsid w:val="00BF0C2A"/>
    <w:rsid w:val="00BF0E8F"/>
    <w:rsid w:val="00BF1527"/>
    <w:rsid w:val="00BF1709"/>
    <w:rsid w:val="00BF17CD"/>
    <w:rsid w:val="00BF1D31"/>
    <w:rsid w:val="00BF210F"/>
    <w:rsid w:val="00BF225E"/>
    <w:rsid w:val="00BF2329"/>
    <w:rsid w:val="00BF24DF"/>
    <w:rsid w:val="00BF282C"/>
    <w:rsid w:val="00BF2975"/>
    <w:rsid w:val="00BF2A9E"/>
    <w:rsid w:val="00BF31FA"/>
    <w:rsid w:val="00BF3A30"/>
    <w:rsid w:val="00BF416A"/>
    <w:rsid w:val="00BF43CA"/>
    <w:rsid w:val="00BF47F3"/>
    <w:rsid w:val="00BF4868"/>
    <w:rsid w:val="00BF4972"/>
    <w:rsid w:val="00BF4AC0"/>
    <w:rsid w:val="00BF4C38"/>
    <w:rsid w:val="00BF4CD9"/>
    <w:rsid w:val="00BF4DAB"/>
    <w:rsid w:val="00BF50E1"/>
    <w:rsid w:val="00BF5282"/>
    <w:rsid w:val="00BF5846"/>
    <w:rsid w:val="00BF656A"/>
    <w:rsid w:val="00BF66EC"/>
    <w:rsid w:val="00BF6724"/>
    <w:rsid w:val="00BF6D53"/>
    <w:rsid w:val="00BF748D"/>
    <w:rsid w:val="00BF7806"/>
    <w:rsid w:val="00BF7A87"/>
    <w:rsid w:val="00BF7A9E"/>
    <w:rsid w:val="00BF7EC1"/>
    <w:rsid w:val="00C00331"/>
    <w:rsid w:val="00C0049B"/>
    <w:rsid w:val="00C013F7"/>
    <w:rsid w:val="00C017DE"/>
    <w:rsid w:val="00C01F06"/>
    <w:rsid w:val="00C02775"/>
    <w:rsid w:val="00C02EDD"/>
    <w:rsid w:val="00C0313B"/>
    <w:rsid w:val="00C03794"/>
    <w:rsid w:val="00C03866"/>
    <w:rsid w:val="00C04345"/>
    <w:rsid w:val="00C04694"/>
    <w:rsid w:val="00C04A32"/>
    <w:rsid w:val="00C04C27"/>
    <w:rsid w:val="00C04E0E"/>
    <w:rsid w:val="00C04E62"/>
    <w:rsid w:val="00C0556D"/>
    <w:rsid w:val="00C056AA"/>
    <w:rsid w:val="00C05AA9"/>
    <w:rsid w:val="00C05EF4"/>
    <w:rsid w:val="00C0616B"/>
    <w:rsid w:val="00C061F6"/>
    <w:rsid w:val="00C0622C"/>
    <w:rsid w:val="00C0632C"/>
    <w:rsid w:val="00C06CF2"/>
    <w:rsid w:val="00C06E0A"/>
    <w:rsid w:val="00C07108"/>
    <w:rsid w:val="00C07787"/>
    <w:rsid w:val="00C079EA"/>
    <w:rsid w:val="00C07A19"/>
    <w:rsid w:val="00C07C18"/>
    <w:rsid w:val="00C07D7A"/>
    <w:rsid w:val="00C109F1"/>
    <w:rsid w:val="00C111C1"/>
    <w:rsid w:val="00C1134B"/>
    <w:rsid w:val="00C11CC3"/>
    <w:rsid w:val="00C11CF2"/>
    <w:rsid w:val="00C11D9A"/>
    <w:rsid w:val="00C12444"/>
    <w:rsid w:val="00C126EC"/>
    <w:rsid w:val="00C12834"/>
    <w:rsid w:val="00C12A8A"/>
    <w:rsid w:val="00C12B4C"/>
    <w:rsid w:val="00C13775"/>
    <w:rsid w:val="00C13D70"/>
    <w:rsid w:val="00C13D71"/>
    <w:rsid w:val="00C13F0B"/>
    <w:rsid w:val="00C149B7"/>
    <w:rsid w:val="00C1531C"/>
    <w:rsid w:val="00C154F9"/>
    <w:rsid w:val="00C15543"/>
    <w:rsid w:val="00C156CE"/>
    <w:rsid w:val="00C15B53"/>
    <w:rsid w:val="00C15E49"/>
    <w:rsid w:val="00C16273"/>
    <w:rsid w:val="00C162C1"/>
    <w:rsid w:val="00C1638C"/>
    <w:rsid w:val="00C16434"/>
    <w:rsid w:val="00C16AB1"/>
    <w:rsid w:val="00C16BA1"/>
    <w:rsid w:val="00C16CB5"/>
    <w:rsid w:val="00C170A4"/>
    <w:rsid w:val="00C1725D"/>
    <w:rsid w:val="00C17316"/>
    <w:rsid w:val="00C175F2"/>
    <w:rsid w:val="00C17683"/>
    <w:rsid w:val="00C1782F"/>
    <w:rsid w:val="00C17BEB"/>
    <w:rsid w:val="00C17E69"/>
    <w:rsid w:val="00C17F2B"/>
    <w:rsid w:val="00C208E9"/>
    <w:rsid w:val="00C20B98"/>
    <w:rsid w:val="00C216C1"/>
    <w:rsid w:val="00C216F9"/>
    <w:rsid w:val="00C21E5D"/>
    <w:rsid w:val="00C22175"/>
    <w:rsid w:val="00C22A22"/>
    <w:rsid w:val="00C23066"/>
    <w:rsid w:val="00C230F8"/>
    <w:rsid w:val="00C234D0"/>
    <w:rsid w:val="00C23521"/>
    <w:rsid w:val="00C23D57"/>
    <w:rsid w:val="00C23F41"/>
    <w:rsid w:val="00C24012"/>
    <w:rsid w:val="00C2409A"/>
    <w:rsid w:val="00C24162"/>
    <w:rsid w:val="00C2454A"/>
    <w:rsid w:val="00C245BB"/>
    <w:rsid w:val="00C2468A"/>
    <w:rsid w:val="00C2528D"/>
    <w:rsid w:val="00C25C3D"/>
    <w:rsid w:val="00C25C8A"/>
    <w:rsid w:val="00C25EDA"/>
    <w:rsid w:val="00C262B3"/>
    <w:rsid w:val="00C268F0"/>
    <w:rsid w:val="00C26A2D"/>
    <w:rsid w:val="00C2704B"/>
    <w:rsid w:val="00C27060"/>
    <w:rsid w:val="00C2746C"/>
    <w:rsid w:val="00C27DEB"/>
    <w:rsid w:val="00C27FA4"/>
    <w:rsid w:val="00C302DA"/>
    <w:rsid w:val="00C3045B"/>
    <w:rsid w:val="00C30D11"/>
    <w:rsid w:val="00C317D4"/>
    <w:rsid w:val="00C31A7F"/>
    <w:rsid w:val="00C31D3C"/>
    <w:rsid w:val="00C31EE3"/>
    <w:rsid w:val="00C326A3"/>
    <w:rsid w:val="00C326E3"/>
    <w:rsid w:val="00C32B8E"/>
    <w:rsid w:val="00C33444"/>
    <w:rsid w:val="00C334DC"/>
    <w:rsid w:val="00C33655"/>
    <w:rsid w:val="00C3380E"/>
    <w:rsid w:val="00C33EF9"/>
    <w:rsid w:val="00C3405C"/>
    <w:rsid w:val="00C340C2"/>
    <w:rsid w:val="00C34A2D"/>
    <w:rsid w:val="00C34CFE"/>
    <w:rsid w:val="00C34DCB"/>
    <w:rsid w:val="00C35085"/>
    <w:rsid w:val="00C350F6"/>
    <w:rsid w:val="00C35835"/>
    <w:rsid w:val="00C3598E"/>
    <w:rsid w:val="00C35A61"/>
    <w:rsid w:val="00C35B2C"/>
    <w:rsid w:val="00C35F6E"/>
    <w:rsid w:val="00C3605A"/>
    <w:rsid w:val="00C3612F"/>
    <w:rsid w:val="00C368AD"/>
    <w:rsid w:val="00C36B7D"/>
    <w:rsid w:val="00C36BFA"/>
    <w:rsid w:val="00C36CC6"/>
    <w:rsid w:val="00C37011"/>
    <w:rsid w:val="00C37B49"/>
    <w:rsid w:val="00C37C0A"/>
    <w:rsid w:val="00C37CA1"/>
    <w:rsid w:val="00C37F1A"/>
    <w:rsid w:val="00C37F2F"/>
    <w:rsid w:val="00C37F3C"/>
    <w:rsid w:val="00C401AA"/>
    <w:rsid w:val="00C404C0"/>
    <w:rsid w:val="00C407B3"/>
    <w:rsid w:val="00C40B36"/>
    <w:rsid w:val="00C40F39"/>
    <w:rsid w:val="00C410B9"/>
    <w:rsid w:val="00C41521"/>
    <w:rsid w:val="00C419CB"/>
    <w:rsid w:val="00C41AE4"/>
    <w:rsid w:val="00C41B8F"/>
    <w:rsid w:val="00C41DD5"/>
    <w:rsid w:val="00C422F9"/>
    <w:rsid w:val="00C430CF"/>
    <w:rsid w:val="00C43AB4"/>
    <w:rsid w:val="00C43C1D"/>
    <w:rsid w:val="00C43F50"/>
    <w:rsid w:val="00C43F6C"/>
    <w:rsid w:val="00C445C5"/>
    <w:rsid w:val="00C447FF"/>
    <w:rsid w:val="00C45531"/>
    <w:rsid w:val="00C455FA"/>
    <w:rsid w:val="00C458B9"/>
    <w:rsid w:val="00C45BED"/>
    <w:rsid w:val="00C45D07"/>
    <w:rsid w:val="00C4624E"/>
    <w:rsid w:val="00C4671E"/>
    <w:rsid w:val="00C467E4"/>
    <w:rsid w:val="00C46823"/>
    <w:rsid w:val="00C46906"/>
    <w:rsid w:val="00C46EA0"/>
    <w:rsid w:val="00C47D5E"/>
    <w:rsid w:val="00C50400"/>
    <w:rsid w:val="00C506D7"/>
    <w:rsid w:val="00C506DD"/>
    <w:rsid w:val="00C506F6"/>
    <w:rsid w:val="00C50793"/>
    <w:rsid w:val="00C50906"/>
    <w:rsid w:val="00C5151F"/>
    <w:rsid w:val="00C51657"/>
    <w:rsid w:val="00C52624"/>
    <w:rsid w:val="00C5265C"/>
    <w:rsid w:val="00C526BF"/>
    <w:rsid w:val="00C52A76"/>
    <w:rsid w:val="00C52E62"/>
    <w:rsid w:val="00C52FE4"/>
    <w:rsid w:val="00C536CB"/>
    <w:rsid w:val="00C53BE5"/>
    <w:rsid w:val="00C53CC4"/>
    <w:rsid w:val="00C543DB"/>
    <w:rsid w:val="00C547B8"/>
    <w:rsid w:val="00C54812"/>
    <w:rsid w:val="00C5494E"/>
    <w:rsid w:val="00C549C8"/>
    <w:rsid w:val="00C54B74"/>
    <w:rsid w:val="00C54E26"/>
    <w:rsid w:val="00C55564"/>
    <w:rsid w:val="00C558AA"/>
    <w:rsid w:val="00C558B0"/>
    <w:rsid w:val="00C55FB2"/>
    <w:rsid w:val="00C562EB"/>
    <w:rsid w:val="00C566BF"/>
    <w:rsid w:val="00C5736F"/>
    <w:rsid w:val="00C5781A"/>
    <w:rsid w:val="00C57A1D"/>
    <w:rsid w:val="00C57BE9"/>
    <w:rsid w:val="00C57EAF"/>
    <w:rsid w:val="00C60159"/>
    <w:rsid w:val="00C60551"/>
    <w:rsid w:val="00C605BB"/>
    <w:rsid w:val="00C60DDE"/>
    <w:rsid w:val="00C60F4C"/>
    <w:rsid w:val="00C612A0"/>
    <w:rsid w:val="00C6179E"/>
    <w:rsid w:val="00C619ED"/>
    <w:rsid w:val="00C61CDD"/>
    <w:rsid w:val="00C62006"/>
    <w:rsid w:val="00C6253F"/>
    <w:rsid w:val="00C629C4"/>
    <w:rsid w:val="00C62AF9"/>
    <w:rsid w:val="00C62C2C"/>
    <w:rsid w:val="00C62EF8"/>
    <w:rsid w:val="00C630C2"/>
    <w:rsid w:val="00C6396F"/>
    <w:rsid w:val="00C63988"/>
    <w:rsid w:val="00C63B52"/>
    <w:rsid w:val="00C63E07"/>
    <w:rsid w:val="00C643C8"/>
    <w:rsid w:val="00C6479C"/>
    <w:rsid w:val="00C64EB3"/>
    <w:rsid w:val="00C64EDB"/>
    <w:rsid w:val="00C64F99"/>
    <w:rsid w:val="00C65207"/>
    <w:rsid w:val="00C65476"/>
    <w:rsid w:val="00C655F8"/>
    <w:rsid w:val="00C656FA"/>
    <w:rsid w:val="00C66618"/>
    <w:rsid w:val="00C66708"/>
    <w:rsid w:val="00C6694D"/>
    <w:rsid w:val="00C66B16"/>
    <w:rsid w:val="00C66D48"/>
    <w:rsid w:val="00C66D87"/>
    <w:rsid w:val="00C66EC9"/>
    <w:rsid w:val="00C66F5D"/>
    <w:rsid w:val="00C67144"/>
    <w:rsid w:val="00C671FE"/>
    <w:rsid w:val="00C672C8"/>
    <w:rsid w:val="00C67512"/>
    <w:rsid w:val="00C676E2"/>
    <w:rsid w:val="00C6775B"/>
    <w:rsid w:val="00C67B42"/>
    <w:rsid w:val="00C67F61"/>
    <w:rsid w:val="00C67FE8"/>
    <w:rsid w:val="00C70013"/>
    <w:rsid w:val="00C70466"/>
    <w:rsid w:val="00C704B4"/>
    <w:rsid w:val="00C705F1"/>
    <w:rsid w:val="00C70A72"/>
    <w:rsid w:val="00C7115E"/>
    <w:rsid w:val="00C7137F"/>
    <w:rsid w:val="00C7148E"/>
    <w:rsid w:val="00C71734"/>
    <w:rsid w:val="00C719AB"/>
    <w:rsid w:val="00C71C6A"/>
    <w:rsid w:val="00C72040"/>
    <w:rsid w:val="00C72215"/>
    <w:rsid w:val="00C7264F"/>
    <w:rsid w:val="00C72739"/>
    <w:rsid w:val="00C72861"/>
    <w:rsid w:val="00C72ABD"/>
    <w:rsid w:val="00C72B73"/>
    <w:rsid w:val="00C7301A"/>
    <w:rsid w:val="00C7301F"/>
    <w:rsid w:val="00C73CEA"/>
    <w:rsid w:val="00C742C4"/>
    <w:rsid w:val="00C744E6"/>
    <w:rsid w:val="00C74529"/>
    <w:rsid w:val="00C74530"/>
    <w:rsid w:val="00C74982"/>
    <w:rsid w:val="00C74A28"/>
    <w:rsid w:val="00C74B72"/>
    <w:rsid w:val="00C756E6"/>
    <w:rsid w:val="00C763D1"/>
    <w:rsid w:val="00C76571"/>
    <w:rsid w:val="00C76AC9"/>
    <w:rsid w:val="00C77254"/>
    <w:rsid w:val="00C773E4"/>
    <w:rsid w:val="00C7760F"/>
    <w:rsid w:val="00C77C4A"/>
    <w:rsid w:val="00C80119"/>
    <w:rsid w:val="00C80611"/>
    <w:rsid w:val="00C806DB"/>
    <w:rsid w:val="00C80E5A"/>
    <w:rsid w:val="00C8110A"/>
    <w:rsid w:val="00C81884"/>
    <w:rsid w:val="00C81DDE"/>
    <w:rsid w:val="00C81F0E"/>
    <w:rsid w:val="00C8235A"/>
    <w:rsid w:val="00C8275B"/>
    <w:rsid w:val="00C82B83"/>
    <w:rsid w:val="00C82F45"/>
    <w:rsid w:val="00C8369F"/>
    <w:rsid w:val="00C838A8"/>
    <w:rsid w:val="00C83F1C"/>
    <w:rsid w:val="00C847D9"/>
    <w:rsid w:val="00C84828"/>
    <w:rsid w:val="00C849BE"/>
    <w:rsid w:val="00C84C1A"/>
    <w:rsid w:val="00C84D84"/>
    <w:rsid w:val="00C854B5"/>
    <w:rsid w:val="00C85EE0"/>
    <w:rsid w:val="00C85F3E"/>
    <w:rsid w:val="00C86201"/>
    <w:rsid w:val="00C86612"/>
    <w:rsid w:val="00C86D5F"/>
    <w:rsid w:val="00C873B8"/>
    <w:rsid w:val="00C87A22"/>
    <w:rsid w:val="00C90E14"/>
    <w:rsid w:val="00C9149B"/>
    <w:rsid w:val="00C914AE"/>
    <w:rsid w:val="00C914D0"/>
    <w:rsid w:val="00C9244B"/>
    <w:rsid w:val="00C92947"/>
    <w:rsid w:val="00C92BD2"/>
    <w:rsid w:val="00C931A4"/>
    <w:rsid w:val="00C931EA"/>
    <w:rsid w:val="00C934E0"/>
    <w:rsid w:val="00C93548"/>
    <w:rsid w:val="00C93688"/>
    <w:rsid w:val="00C9371E"/>
    <w:rsid w:val="00C938EC"/>
    <w:rsid w:val="00C93D8A"/>
    <w:rsid w:val="00C942A7"/>
    <w:rsid w:val="00C94412"/>
    <w:rsid w:val="00C94492"/>
    <w:rsid w:val="00C949F9"/>
    <w:rsid w:val="00C94A54"/>
    <w:rsid w:val="00C94A85"/>
    <w:rsid w:val="00C94AF2"/>
    <w:rsid w:val="00C94D3A"/>
    <w:rsid w:val="00C94DA9"/>
    <w:rsid w:val="00C951A0"/>
    <w:rsid w:val="00C9549D"/>
    <w:rsid w:val="00C95EE1"/>
    <w:rsid w:val="00C965AB"/>
    <w:rsid w:val="00C966CC"/>
    <w:rsid w:val="00C96A1B"/>
    <w:rsid w:val="00C96A87"/>
    <w:rsid w:val="00C96AC3"/>
    <w:rsid w:val="00C96F2E"/>
    <w:rsid w:val="00C970EF"/>
    <w:rsid w:val="00C971BC"/>
    <w:rsid w:val="00C97555"/>
    <w:rsid w:val="00C97820"/>
    <w:rsid w:val="00CA004F"/>
    <w:rsid w:val="00CA039F"/>
    <w:rsid w:val="00CA0505"/>
    <w:rsid w:val="00CA059F"/>
    <w:rsid w:val="00CA0807"/>
    <w:rsid w:val="00CA0892"/>
    <w:rsid w:val="00CA0A91"/>
    <w:rsid w:val="00CA105A"/>
    <w:rsid w:val="00CA143A"/>
    <w:rsid w:val="00CA1ED5"/>
    <w:rsid w:val="00CA20A8"/>
    <w:rsid w:val="00CA2207"/>
    <w:rsid w:val="00CA2D92"/>
    <w:rsid w:val="00CA2E56"/>
    <w:rsid w:val="00CA31BB"/>
    <w:rsid w:val="00CA41E4"/>
    <w:rsid w:val="00CA506D"/>
    <w:rsid w:val="00CA5A47"/>
    <w:rsid w:val="00CA5A51"/>
    <w:rsid w:val="00CA5A61"/>
    <w:rsid w:val="00CA5A95"/>
    <w:rsid w:val="00CA6529"/>
    <w:rsid w:val="00CA668E"/>
    <w:rsid w:val="00CA6BD2"/>
    <w:rsid w:val="00CA75C1"/>
    <w:rsid w:val="00CA7FC2"/>
    <w:rsid w:val="00CA7FF7"/>
    <w:rsid w:val="00CB0065"/>
    <w:rsid w:val="00CB01F6"/>
    <w:rsid w:val="00CB0780"/>
    <w:rsid w:val="00CB0BCA"/>
    <w:rsid w:val="00CB0C97"/>
    <w:rsid w:val="00CB11A9"/>
    <w:rsid w:val="00CB141C"/>
    <w:rsid w:val="00CB225C"/>
    <w:rsid w:val="00CB277C"/>
    <w:rsid w:val="00CB2E20"/>
    <w:rsid w:val="00CB3805"/>
    <w:rsid w:val="00CB3823"/>
    <w:rsid w:val="00CB4282"/>
    <w:rsid w:val="00CB428C"/>
    <w:rsid w:val="00CB48FD"/>
    <w:rsid w:val="00CB499C"/>
    <w:rsid w:val="00CB5193"/>
    <w:rsid w:val="00CB5267"/>
    <w:rsid w:val="00CB52A1"/>
    <w:rsid w:val="00CB54BE"/>
    <w:rsid w:val="00CB5A78"/>
    <w:rsid w:val="00CB5C11"/>
    <w:rsid w:val="00CB5E6D"/>
    <w:rsid w:val="00CB611F"/>
    <w:rsid w:val="00CB631D"/>
    <w:rsid w:val="00CB63A0"/>
    <w:rsid w:val="00CB640A"/>
    <w:rsid w:val="00CB64A0"/>
    <w:rsid w:val="00CB6913"/>
    <w:rsid w:val="00CB6E21"/>
    <w:rsid w:val="00CB6F2C"/>
    <w:rsid w:val="00CB7070"/>
    <w:rsid w:val="00CB755A"/>
    <w:rsid w:val="00CB7649"/>
    <w:rsid w:val="00CB789E"/>
    <w:rsid w:val="00CB7B86"/>
    <w:rsid w:val="00CB7E7E"/>
    <w:rsid w:val="00CB7E8B"/>
    <w:rsid w:val="00CC01E0"/>
    <w:rsid w:val="00CC10EF"/>
    <w:rsid w:val="00CC149A"/>
    <w:rsid w:val="00CC15B1"/>
    <w:rsid w:val="00CC170C"/>
    <w:rsid w:val="00CC210D"/>
    <w:rsid w:val="00CC2488"/>
    <w:rsid w:val="00CC2861"/>
    <w:rsid w:val="00CC2BE0"/>
    <w:rsid w:val="00CC35F7"/>
    <w:rsid w:val="00CC3724"/>
    <w:rsid w:val="00CC39A1"/>
    <w:rsid w:val="00CC3B5C"/>
    <w:rsid w:val="00CC425A"/>
    <w:rsid w:val="00CC4729"/>
    <w:rsid w:val="00CC4749"/>
    <w:rsid w:val="00CC4D10"/>
    <w:rsid w:val="00CC5583"/>
    <w:rsid w:val="00CC597E"/>
    <w:rsid w:val="00CC5B58"/>
    <w:rsid w:val="00CC5F39"/>
    <w:rsid w:val="00CC6237"/>
    <w:rsid w:val="00CC6A06"/>
    <w:rsid w:val="00CC702D"/>
    <w:rsid w:val="00CC7272"/>
    <w:rsid w:val="00CC743D"/>
    <w:rsid w:val="00CC77CA"/>
    <w:rsid w:val="00CC7BB2"/>
    <w:rsid w:val="00CC7DC7"/>
    <w:rsid w:val="00CC7E6A"/>
    <w:rsid w:val="00CD0C0E"/>
    <w:rsid w:val="00CD1C7E"/>
    <w:rsid w:val="00CD1EFC"/>
    <w:rsid w:val="00CD1FC3"/>
    <w:rsid w:val="00CD22CB"/>
    <w:rsid w:val="00CD24F8"/>
    <w:rsid w:val="00CD267C"/>
    <w:rsid w:val="00CD2A42"/>
    <w:rsid w:val="00CD2CE3"/>
    <w:rsid w:val="00CD2FA2"/>
    <w:rsid w:val="00CD3052"/>
    <w:rsid w:val="00CD307B"/>
    <w:rsid w:val="00CD31F4"/>
    <w:rsid w:val="00CD3380"/>
    <w:rsid w:val="00CD34A5"/>
    <w:rsid w:val="00CD3BC3"/>
    <w:rsid w:val="00CD3BFF"/>
    <w:rsid w:val="00CD426F"/>
    <w:rsid w:val="00CD4377"/>
    <w:rsid w:val="00CD4578"/>
    <w:rsid w:val="00CD4A39"/>
    <w:rsid w:val="00CD4A4D"/>
    <w:rsid w:val="00CD4B07"/>
    <w:rsid w:val="00CD5261"/>
    <w:rsid w:val="00CD5363"/>
    <w:rsid w:val="00CD597B"/>
    <w:rsid w:val="00CD5A20"/>
    <w:rsid w:val="00CD5D72"/>
    <w:rsid w:val="00CD5E47"/>
    <w:rsid w:val="00CD6395"/>
    <w:rsid w:val="00CD6E87"/>
    <w:rsid w:val="00CD6F4E"/>
    <w:rsid w:val="00CD75F7"/>
    <w:rsid w:val="00CD7F9F"/>
    <w:rsid w:val="00CE08B2"/>
    <w:rsid w:val="00CE0A57"/>
    <w:rsid w:val="00CE0F7D"/>
    <w:rsid w:val="00CE10C0"/>
    <w:rsid w:val="00CE145B"/>
    <w:rsid w:val="00CE14BD"/>
    <w:rsid w:val="00CE14C1"/>
    <w:rsid w:val="00CE1822"/>
    <w:rsid w:val="00CE1823"/>
    <w:rsid w:val="00CE2090"/>
    <w:rsid w:val="00CE226E"/>
    <w:rsid w:val="00CE2414"/>
    <w:rsid w:val="00CE2567"/>
    <w:rsid w:val="00CE25F7"/>
    <w:rsid w:val="00CE283E"/>
    <w:rsid w:val="00CE2EB6"/>
    <w:rsid w:val="00CE3011"/>
    <w:rsid w:val="00CE31E6"/>
    <w:rsid w:val="00CE330A"/>
    <w:rsid w:val="00CE358D"/>
    <w:rsid w:val="00CE3638"/>
    <w:rsid w:val="00CE37A4"/>
    <w:rsid w:val="00CE3996"/>
    <w:rsid w:val="00CE3BAC"/>
    <w:rsid w:val="00CE4393"/>
    <w:rsid w:val="00CE461B"/>
    <w:rsid w:val="00CE497C"/>
    <w:rsid w:val="00CE4C26"/>
    <w:rsid w:val="00CE4D56"/>
    <w:rsid w:val="00CE4DA9"/>
    <w:rsid w:val="00CE4F61"/>
    <w:rsid w:val="00CE5386"/>
    <w:rsid w:val="00CE58DC"/>
    <w:rsid w:val="00CE612B"/>
    <w:rsid w:val="00CE67A5"/>
    <w:rsid w:val="00CE6B3A"/>
    <w:rsid w:val="00CE6BE6"/>
    <w:rsid w:val="00CE6F8B"/>
    <w:rsid w:val="00CE6F9D"/>
    <w:rsid w:val="00CE761B"/>
    <w:rsid w:val="00CE7656"/>
    <w:rsid w:val="00CF0299"/>
    <w:rsid w:val="00CF0393"/>
    <w:rsid w:val="00CF0B88"/>
    <w:rsid w:val="00CF1510"/>
    <w:rsid w:val="00CF1A2A"/>
    <w:rsid w:val="00CF1E50"/>
    <w:rsid w:val="00CF25FD"/>
    <w:rsid w:val="00CF281B"/>
    <w:rsid w:val="00CF2FE5"/>
    <w:rsid w:val="00CF31F8"/>
    <w:rsid w:val="00CF3503"/>
    <w:rsid w:val="00CF3994"/>
    <w:rsid w:val="00CF39FF"/>
    <w:rsid w:val="00CF45E7"/>
    <w:rsid w:val="00CF4798"/>
    <w:rsid w:val="00CF4FF2"/>
    <w:rsid w:val="00CF5387"/>
    <w:rsid w:val="00CF57B2"/>
    <w:rsid w:val="00CF59DC"/>
    <w:rsid w:val="00CF5C70"/>
    <w:rsid w:val="00CF5D28"/>
    <w:rsid w:val="00CF61E6"/>
    <w:rsid w:val="00CF624D"/>
    <w:rsid w:val="00CF62E7"/>
    <w:rsid w:val="00CF6816"/>
    <w:rsid w:val="00CF681C"/>
    <w:rsid w:val="00CF685D"/>
    <w:rsid w:val="00CF6875"/>
    <w:rsid w:val="00CF6890"/>
    <w:rsid w:val="00CF6B96"/>
    <w:rsid w:val="00CF6B9A"/>
    <w:rsid w:val="00CF6DBA"/>
    <w:rsid w:val="00CF6E4A"/>
    <w:rsid w:val="00CF7BEF"/>
    <w:rsid w:val="00CF7EBC"/>
    <w:rsid w:val="00CF7EEF"/>
    <w:rsid w:val="00CF7EFA"/>
    <w:rsid w:val="00D0071B"/>
    <w:rsid w:val="00D00857"/>
    <w:rsid w:val="00D00A2C"/>
    <w:rsid w:val="00D00E37"/>
    <w:rsid w:val="00D00FB7"/>
    <w:rsid w:val="00D011A0"/>
    <w:rsid w:val="00D01556"/>
    <w:rsid w:val="00D01A07"/>
    <w:rsid w:val="00D01A58"/>
    <w:rsid w:val="00D01B29"/>
    <w:rsid w:val="00D020EA"/>
    <w:rsid w:val="00D022F8"/>
    <w:rsid w:val="00D02360"/>
    <w:rsid w:val="00D025E8"/>
    <w:rsid w:val="00D029B5"/>
    <w:rsid w:val="00D02BDE"/>
    <w:rsid w:val="00D02BE4"/>
    <w:rsid w:val="00D02E91"/>
    <w:rsid w:val="00D03015"/>
    <w:rsid w:val="00D03762"/>
    <w:rsid w:val="00D03793"/>
    <w:rsid w:val="00D046AE"/>
    <w:rsid w:val="00D0472A"/>
    <w:rsid w:val="00D04B1E"/>
    <w:rsid w:val="00D0587E"/>
    <w:rsid w:val="00D058CD"/>
    <w:rsid w:val="00D058D0"/>
    <w:rsid w:val="00D05F27"/>
    <w:rsid w:val="00D06135"/>
    <w:rsid w:val="00D066CF"/>
    <w:rsid w:val="00D068D6"/>
    <w:rsid w:val="00D06A0A"/>
    <w:rsid w:val="00D072BC"/>
    <w:rsid w:val="00D072FD"/>
    <w:rsid w:val="00D07393"/>
    <w:rsid w:val="00D07A32"/>
    <w:rsid w:val="00D07CDB"/>
    <w:rsid w:val="00D1004C"/>
    <w:rsid w:val="00D10885"/>
    <w:rsid w:val="00D10A4D"/>
    <w:rsid w:val="00D10E5E"/>
    <w:rsid w:val="00D11040"/>
    <w:rsid w:val="00D110E1"/>
    <w:rsid w:val="00D11212"/>
    <w:rsid w:val="00D114EF"/>
    <w:rsid w:val="00D118F5"/>
    <w:rsid w:val="00D1229A"/>
    <w:rsid w:val="00D12672"/>
    <w:rsid w:val="00D12711"/>
    <w:rsid w:val="00D12E34"/>
    <w:rsid w:val="00D12E73"/>
    <w:rsid w:val="00D130C4"/>
    <w:rsid w:val="00D134DD"/>
    <w:rsid w:val="00D13628"/>
    <w:rsid w:val="00D1365B"/>
    <w:rsid w:val="00D143D1"/>
    <w:rsid w:val="00D144F5"/>
    <w:rsid w:val="00D14775"/>
    <w:rsid w:val="00D149FC"/>
    <w:rsid w:val="00D14A82"/>
    <w:rsid w:val="00D14AF9"/>
    <w:rsid w:val="00D159E9"/>
    <w:rsid w:val="00D15AB7"/>
    <w:rsid w:val="00D15D76"/>
    <w:rsid w:val="00D15E29"/>
    <w:rsid w:val="00D15F36"/>
    <w:rsid w:val="00D161A6"/>
    <w:rsid w:val="00D161AE"/>
    <w:rsid w:val="00D1665B"/>
    <w:rsid w:val="00D16C43"/>
    <w:rsid w:val="00D16F59"/>
    <w:rsid w:val="00D1709C"/>
    <w:rsid w:val="00D17349"/>
    <w:rsid w:val="00D175B7"/>
    <w:rsid w:val="00D1781A"/>
    <w:rsid w:val="00D17E1D"/>
    <w:rsid w:val="00D17E91"/>
    <w:rsid w:val="00D209CF"/>
    <w:rsid w:val="00D20CA4"/>
    <w:rsid w:val="00D20F0E"/>
    <w:rsid w:val="00D217B5"/>
    <w:rsid w:val="00D218AB"/>
    <w:rsid w:val="00D21A28"/>
    <w:rsid w:val="00D221BC"/>
    <w:rsid w:val="00D22C17"/>
    <w:rsid w:val="00D22FBE"/>
    <w:rsid w:val="00D23195"/>
    <w:rsid w:val="00D23979"/>
    <w:rsid w:val="00D23A5F"/>
    <w:rsid w:val="00D23C59"/>
    <w:rsid w:val="00D23D30"/>
    <w:rsid w:val="00D2428A"/>
    <w:rsid w:val="00D24921"/>
    <w:rsid w:val="00D24A34"/>
    <w:rsid w:val="00D24C00"/>
    <w:rsid w:val="00D2514B"/>
    <w:rsid w:val="00D2563A"/>
    <w:rsid w:val="00D25D28"/>
    <w:rsid w:val="00D264DF"/>
    <w:rsid w:val="00D26538"/>
    <w:rsid w:val="00D2671B"/>
    <w:rsid w:val="00D2734B"/>
    <w:rsid w:val="00D2743D"/>
    <w:rsid w:val="00D30479"/>
    <w:rsid w:val="00D30EEA"/>
    <w:rsid w:val="00D31013"/>
    <w:rsid w:val="00D31578"/>
    <w:rsid w:val="00D319C8"/>
    <w:rsid w:val="00D32677"/>
    <w:rsid w:val="00D326CE"/>
    <w:rsid w:val="00D3270C"/>
    <w:rsid w:val="00D32714"/>
    <w:rsid w:val="00D32E26"/>
    <w:rsid w:val="00D331AC"/>
    <w:rsid w:val="00D33240"/>
    <w:rsid w:val="00D33563"/>
    <w:rsid w:val="00D3359E"/>
    <w:rsid w:val="00D33885"/>
    <w:rsid w:val="00D338FE"/>
    <w:rsid w:val="00D3395F"/>
    <w:rsid w:val="00D33DB5"/>
    <w:rsid w:val="00D33DFA"/>
    <w:rsid w:val="00D33ECA"/>
    <w:rsid w:val="00D34130"/>
    <w:rsid w:val="00D344BD"/>
    <w:rsid w:val="00D344F9"/>
    <w:rsid w:val="00D3488E"/>
    <w:rsid w:val="00D3489C"/>
    <w:rsid w:val="00D34C3B"/>
    <w:rsid w:val="00D34FDA"/>
    <w:rsid w:val="00D35199"/>
    <w:rsid w:val="00D356F2"/>
    <w:rsid w:val="00D35885"/>
    <w:rsid w:val="00D35992"/>
    <w:rsid w:val="00D35B7E"/>
    <w:rsid w:val="00D35CF1"/>
    <w:rsid w:val="00D3608B"/>
    <w:rsid w:val="00D360EE"/>
    <w:rsid w:val="00D365D8"/>
    <w:rsid w:val="00D3660E"/>
    <w:rsid w:val="00D36944"/>
    <w:rsid w:val="00D370F9"/>
    <w:rsid w:val="00D37159"/>
    <w:rsid w:val="00D37720"/>
    <w:rsid w:val="00D377AB"/>
    <w:rsid w:val="00D402DE"/>
    <w:rsid w:val="00D4047D"/>
    <w:rsid w:val="00D4087F"/>
    <w:rsid w:val="00D4127A"/>
    <w:rsid w:val="00D413C3"/>
    <w:rsid w:val="00D41594"/>
    <w:rsid w:val="00D41671"/>
    <w:rsid w:val="00D4182B"/>
    <w:rsid w:val="00D41C7D"/>
    <w:rsid w:val="00D41E1A"/>
    <w:rsid w:val="00D41E9E"/>
    <w:rsid w:val="00D42041"/>
    <w:rsid w:val="00D42073"/>
    <w:rsid w:val="00D420B2"/>
    <w:rsid w:val="00D420FA"/>
    <w:rsid w:val="00D43C46"/>
    <w:rsid w:val="00D44672"/>
    <w:rsid w:val="00D44984"/>
    <w:rsid w:val="00D44A8B"/>
    <w:rsid w:val="00D44CFA"/>
    <w:rsid w:val="00D4504F"/>
    <w:rsid w:val="00D45102"/>
    <w:rsid w:val="00D455E0"/>
    <w:rsid w:val="00D45933"/>
    <w:rsid w:val="00D46313"/>
    <w:rsid w:val="00D464FC"/>
    <w:rsid w:val="00D469E7"/>
    <w:rsid w:val="00D46DFA"/>
    <w:rsid w:val="00D46FCF"/>
    <w:rsid w:val="00D473E4"/>
    <w:rsid w:val="00D47928"/>
    <w:rsid w:val="00D47AC5"/>
    <w:rsid w:val="00D47DA4"/>
    <w:rsid w:val="00D47E16"/>
    <w:rsid w:val="00D5067A"/>
    <w:rsid w:val="00D50FB3"/>
    <w:rsid w:val="00D51150"/>
    <w:rsid w:val="00D511A2"/>
    <w:rsid w:val="00D512E3"/>
    <w:rsid w:val="00D5130A"/>
    <w:rsid w:val="00D51668"/>
    <w:rsid w:val="00D5176B"/>
    <w:rsid w:val="00D51837"/>
    <w:rsid w:val="00D51B9F"/>
    <w:rsid w:val="00D51C32"/>
    <w:rsid w:val="00D522A4"/>
    <w:rsid w:val="00D52872"/>
    <w:rsid w:val="00D52908"/>
    <w:rsid w:val="00D53050"/>
    <w:rsid w:val="00D53240"/>
    <w:rsid w:val="00D535BF"/>
    <w:rsid w:val="00D535F1"/>
    <w:rsid w:val="00D53F8D"/>
    <w:rsid w:val="00D54130"/>
    <w:rsid w:val="00D548EE"/>
    <w:rsid w:val="00D54BD1"/>
    <w:rsid w:val="00D54C24"/>
    <w:rsid w:val="00D552CB"/>
    <w:rsid w:val="00D553EB"/>
    <w:rsid w:val="00D5570E"/>
    <w:rsid w:val="00D558DC"/>
    <w:rsid w:val="00D55C42"/>
    <w:rsid w:val="00D55E9E"/>
    <w:rsid w:val="00D56681"/>
    <w:rsid w:val="00D56A37"/>
    <w:rsid w:val="00D56C0A"/>
    <w:rsid w:val="00D57264"/>
    <w:rsid w:val="00D572AA"/>
    <w:rsid w:val="00D57526"/>
    <w:rsid w:val="00D57541"/>
    <w:rsid w:val="00D57688"/>
    <w:rsid w:val="00D5776E"/>
    <w:rsid w:val="00D577EB"/>
    <w:rsid w:val="00D6037C"/>
    <w:rsid w:val="00D6059E"/>
    <w:rsid w:val="00D60978"/>
    <w:rsid w:val="00D60A5B"/>
    <w:rsid w:val="00D60F58"/>
    <w:rsid w:val="00D6101E"/>
    <w:rsid w:val="00D61182"/>
    <w:rsid w:val="00D61228"/>
    <w:rsid w:val="00D61592"/>
    <w:rsid w:val="00D619B7"/>
    <w:rsid w:val="00D61D27"/>
    <w:rsid w:val="00D61D74"/>
    <w:rsid w:val="00D61E05"/>
    <w:rsid w:val="00D61E15"/>
    <w:rsid w:val="00D62000"/>
    <w:rsid w:val="00D62BEF"/>
    <w:rsid w:val="00D62EB5"/>
    <w:rsid w:val="00D62F1A"/>
    <w:rsid w:val="00D6327D"/>
    <w:rsid w:val="00D63345"/>
    <w:rsid w:val="00D637C9"/>
    <w:rsid w:val="00D63D0D"/>
    <w:rsid w:val="00D63EF9"/>
    <w:rsid w:val="00D64261"/>
    <w:rsid w:val="00D64760"/>
    <w:rsid w:val="00D647C7"/>
    <w:rsid w:val="00D64945"/>
    <w:rsid w:val="00D6527B"/>
    <w:rsid w:val="00D6547A"/>
    <w:rsid w:val="00D65623"/>
    <w:rsid w:val="00D6562E"/>
    <w:rsid w:val="00D65ACB"/>
    <w:rsid w:val="00D65B42"/>
    <w:rsid w:val="00D65B8A"/>
    <w:rsid w:val="00D667F0"/>
    <w:rsid w:val="00D6687E"/>
    <w:rsid w:val="00D66B0F"/>
    <w:rsid w:val="00D6702A"/>
    <w:rsid w:val="00D673BB"/>
    <w:rsid w:val="00D6743B"/>
    <w:rsid w:val="00D67D04"/>
    <w:rsid w:val="00D67F39"/>
    <w:rsid w:val="00D70007"/>
    <w:rsid w:val="00D703B1"/>
    <w:rsid w:val="00D70646"/>
    <w:rsid w:val="00D70BB3"/>
    <w:rsid w:val="00D70C62"/>
    <w:rsid w:val="00D70CD6"/>
    <w:rsid w:val="00D70E7C"/>
    <w:rsid w:val="00D71042"/>
    <w:rsid w:val="00D714E1"/>
    <w:rsid w:val="00D718C1"/>
    <w:rsid w:val="00D71B17"/>
    <w:rsid w:val="00D71E1A"/>
    <w:rsid w:val="00D71E42"/>
    <w:rsid w:val="00D7201F"/>
    <w:rsid w:val="00D721E2"/>
    <w:rsid w:val="00D724C0"/>
    <w:rsid w:val="00D72766"/>
    <w:rsid w:val="00D7294F"/>
    <w:rsid w:val="00D72B53"/>
    <w:rsid w:val="00D72D65"/>
    <w:rsid w:val="00D72E93"/>
    <w:rsid w:val="00D73375"/>
    <w:rsid w:val="00D7339C"/>
    <w:rsid w:val="00D73E48"/>
    <w:rsid w:val="00D7409B"/>
    <w:rsid w:val="00D7421B"/>
    <w:rsid w:val="00D74327"/>
    <w:rsid w:val="00D74538"/>
    <w:rsid w:val="00D747B1"/>
    <w:rsid w:val="00D747F3"/>
    <w:rsid w:val="00D7488E"/>
    <w:rsid w:val="00D750E9"/>
    <w:rsid w:val="00D75208"/>
    <w:rsid w:val="00D75733"/>
    <w:rsid w:val="00D75A0D"/>
    <w:rsid w:val="00D75C78"/>
    <w:rsid w:val="00D75FEC"/>
    <w:rsid w:val="00D76417"/>
    <w:rsid w:val="00D764EF"/>
    <w:rsid w:val="00D76AE6"/>
    <w:rsid w:val="00D77131"/>
    <w:rsid w:val="00D77389"/>
    <w:rsid w:val="00D77442"/>
    <w:rsid w:val="00D77720"/>
    <w:rsid w:val="00D7783E"/>
    <w:rsid w:val="00D77884"/>
    <w:rsid w:val="00D77E7D"/>
    <w:rsid w:val="00D80199"/>
    <w:rsid w:val="00D8029C"/>
    <w:rsid w:val="00D8029D"/>
    <w:rsid w:val="00D80951"/>
    <w:rsid w:val="00D80E31"/>
    <w:rsid w:val="00D81238"/>
    <w:rsid w:val="00D81660"/>
    <w:rsid w:val="00D81989"/>
    <w:rsid w:val="00D81DDB"/>
    <w:rsid w:val="00D81ED5"/>
    <w:rsid w:val="00D820CC"/>
    <w:rsid w:val="00D82679"/>
    <w:rsid w:val="00D828D8"/>
    <w:rsid w:val="00D829CD"/>
    <w:rsid w:val="00D83195"/>
    <w:rsid w:val="00D838FE"/>
    <w:rsid w:val="00D8402F"/>
    <w:rsid w:val="00D8407D"/>
    <w:rsid w:val="00D84559"/>
    <w:rsid w:val="00D84D7D"/>
    <w:rsid w:val="00D84F91"/>
    <w:rsid w:val="00D8514E"/>
    <w:rsid w:val="00D8526E"/>
    <w:rsid w:val="00D8532A"/>
    <w:rsid w:val="00D85903"/>
    <w:rsid w:val="00D85AA5"/>
    <w:rsid w:val="00D85AC6"/>
    <w:rsid w:val="00D85B7A"/>
    <w:rsid w:val="00D861B4"/>
    <w:rsid w:val="00D86670"/>
    <w:rsid w:val="00D8684B"/>
    <w:rsid w:val="00D86C9C"/>
    <w:rsid w:val="00D870A0"/>
    <w:rsid w:val="00D8752E"/>
    <w:rsid w:val="00D87AFF"/>
    <w:rsid w:val="00D90157"/>
    <w:rsid w:val="00D902A4"/>
    <w:rsid w:val="00D90312"/>
    <w:rsid w:val="00D904F5"/>
    <w:rsid w:val="00D90555"/>
    <w:rsid w:val="00D90566"/>
    <w:rsid w:val="00D906F0"/>
    <w:rsid w:val="00D90AD9"/>
    <w:rsid w:val="00D90B35"/>
    <w:rsid w:val="00D917E2"/>
    <w:rsid w:val="00D91CE8"/>
    <w:rsid w:val="00D921AD"/>
    <w:rsid w:val="00D925BA"/>
    <w:rsid w:val="00D925EB"/>
    <w:rsid w:val="00D928A9"/>
    <w:rsid w:val="00D92B03"/>
    <w:rsid w:val="00D92B95"/>
    <w:rsid w:val="00D92D65"/>
    <w:rsid w:val="00D92DFF"/>
    <w:rsid w:val="00D92F7C"/>
    <w:rsid w:val="00D932CB"/>
    <w:rsid w:val="00D934C8"/>
    <w:rsid w:val="00D93576"/>
    <w:rsid w:val="00D93612"/>
    <w:rsid w:val="00D939BB"/>
    <w:rsid w:val="00D93B8C"/>
    <w:rsid w:val="00D93CA2"/>
    <w:rsid w:val="00D940C7"/>
    <w:rsid w:val="00D94131"/>
    <w:rsid w:val="00D945CF"/>
    <w:rsid w:val="00D9483E"/>
    <w:rsid w:val="00D94A15"/>
    <w:rsid w:val="00D94B9E"/>
    <w:rsid w:val="00D95294"/>
    <w:rsid w:val="00D95401"/>
    <w:rsid w:val="00D95501"/>
    <w:rsid w:val="00D95578"/>
    <w:rsid w:val="00D95F43"/>
    <w:rsid w:val="00D963CA"/>
    <w:rsid w:val="00D966F2"/>
    <w:rsid w:val="00D9680C"/>
    <w:rsid w:val="00D969FF"/>
    <w:rsid w:val="00D96CF6"/>
    <w:rsid w:val="00D96F59"/>
    <w:rsid w:val="00D977C5"/>
    <w:rsid w:val="00D97844"/>
    <w:rsid w:val="00D97E34"/>
    <w:rsid w:val="00D97F13"/>
    <w:rsid w:val="00DA0105"/>
    <w:rsid w:val="00DA02BB"/>
    <w:rsid w:val="00DA0410"/>
    <w:rsid w:val="00DA0620"/>
    <w:rsid w:val="00DA0670"/>
    <w:rsid w:val="00DA06FC"/>
    <w:rsid w:val="00DA0AD5"/>
    <w:rsid w:val="00DA0C14"/>
    <w:rsid w:val="00DA0CEA"/>
    <w:rsid w:val="00DA0EDD"/>
    <w:rsid w:val="00DA0F5B"/>
    <w:rsid w:val="00DA108C"/>
    <w:rsid w:val="00DA1430"/>
    <w:rsid w:val="00DA16CA"/>
    <w:rsid w:val="00DA1756"/>
    <w:rsid w:val="00DA1AD5"/>
    <w:rsid w:val="00DA1D55"/>
    <w:rsid w:val="00DA22DF"/>
    <w:rsid w:val="00DA28F5"/>
    <w:rsid w:val="00DA2DD8"/>
    <w:rsid w:val="00DA3038"/>
    <w:rsid w:val="00DA3054"/>
    <w:rsid w:val="00DA3296"/>
    <w:rsid w:val="00DA36B9"/>
    <w:rsid w:val="00DA3BC5"/>
    <w:rsid w:val="00DA4779"/>
    <w:rsid w:val="00DA4E0A"/>
    <w:rsid w:val="00DA4E42"/>
    <w:rsid w:val="00DA592A"/>
    <w:rsid w:val="00DA6320"/>
    <w:rsid w:val="00DA64C2"/>
    <w:rsid w:val="00DA6604"/>
    <w:rsid w:val="00DA6AE6"/>
    <w:rsid w:val="00DA6D49"/>
    <w:rsid w:val="00DA7291"/>
    <w:rsid w:val="00DA73E0"/>
    <w:rsid w:val="00DA77DF"/>
    <w:rsid w:val="00DA7BC6"/>
    <w:rsid w:val="00DB0220"/>
    <w:rsid w:val="00DB0266"/>
    <w:rsid w:val="00DB02C0"/>
    <w:rsid w:val="00DB05A1"/>
    <w:rsid w:val="00DB07F5"/>
    <w:rsid w:val="00DB08E0"/>
    <w:rsid w:val="00DB10BA"/>
    <w:rsid w:val="00DB1690"/>
    <w:rsid w:val="00DB194B"/>
    <w:rsid w:val="00DB19F7"/>
    <w:rsid w:val="00DB1A0C"/>
    <w:rsid w:val="00DB1B8C"/>
    <w:rsid w:val="00DB1CDC"/>
    <w:rsid w:val="00DB2B62"/>
    <w:rsid w:val="00DB2EAD"/>
    <w:rsid w:val="00DB3612"/>
    <w:rsid w:val="00DB3796"/>
    <w:rsid w:val="00DB3803"/>
    <w:rsid w:val="00DB3931"/>
    <w:rsid w:val="00DB3EA9"/>
    <w:rsid w:val="00DB3ED9"/>
    <w:rsid w:val="00DB3F1F"/>
    <w:rsid w:val="00DB4130"/>
    <w:rsid w:val="00DB4332"/>
    <w:rsid w:val="00DB4520"/>
    <w:rsid w:val="00DB4600"/>
    <w:rsid w:val="00DB4F4D"/>
    <w:rsid w:val="00DB5029"/>
    <w:rsid w:val="00DB512B"/>
    <w:rsid w:val="00DB528F"/>
    <w:rsid w:val="00DB5394"/>
    <w:rsid w:val="00DB556B"/>
    <w:rsid w:val="00DB566C"/>
    <w:rsid w:val="00DB56B2"/>
    <w:rsid w:val="00DB58D7"/>
    <w:rsid w:val="00DB58E9"/>
    <w:rsid w:val="00DB5FF0"/>
    <w:rsid w:val="00DB62E5"/>
    <w:rsid w:val="00DB643A"/>
    <w:rsid w:val="00DB667D"/>
    <w:rsid w:val="00DB67F2"/>
    <w:rsid w:val="00DB6E3A"/>
    <w:rsid w:val="00DB7062"/>
    <w:rsid w:val="00DC046B"/>
    <w:rsid w:val="00DC11DE"/>
    <w:rsid w:val="00DC1200"/>
    <w:rsid w:val="00DC12E2"/>
    <w:rsid w:val="00DC1602"/>
    <w:rsid w:val="00DC1876"/>
    <w:rsid w:val="00DC1C92"/>
    <w:rsid w:val="00DC1D17"/>
    <w:rsid w:val="00DC21F8"/>
    <w:rsid w:val="00DC314F"/>
    <w:rsid w:val="00DC3CA8"/>
    <w:rsid w:val="00DC3DD9"/>
    <w:rsid w:val="00DC3E7E"/>
    <w:rsid w:val="00DC44BA"/>
    <w:rsid w:val="00DC483D"/>
    <w:rsid w:val="00DC4D29"/>
    <w:rsid w:val="00DC4DB4"/>
    <w:rsid w:val="00DC571C"/>
    <w:rsid w:val="00DC5729"/>
    <w:rsid w:val="00DC57B9"/>
    <w:rsid w:val="00DC5986"/>
    <w:rsid w:val="00DC6033"/>
    <w:rsid w:val="00DC67DB"/>
    <w:rsid w:val="00DC72CA"/>
    <w:rsid w:val="00DC739B"/>
    <w:rsid w:val="00DC7740"/>
    <w:rsid w:val="00DC7B8B"/>
    <w:rsid w:val="00DC7BE3"/>
    <w:rsid w:val="00DD001D"/>
    <w:rsid w:val="00DD0397"/>
    <w:rsid w:val="00DD03C6"/>
    <w:rsid w:val="00DD050D"/>
    <w:rsid w:val="00DD0865"/>
    <w:rsid w:val="00DD1369"/>
    <w:rsid w:val="00DD15E3"/>
    <w:rsid w:val="00DD1882"/>
    <w:rsid w:val="00DD18AB"/>
    <w:rsid w:val="00DD1A7B"/>
    <w:rsid w:val="00DD1DDC"/>
    <w:rsid w:val="00DD1E8B"/>
    <w:rsid w:val="00DD248E"/>
    <w:rsid w:val="00DD25C1"/>
    <w:rsid w:val="00DD26F8"/>
    <w:rsid w:val="00DD2AD3"/>
    <w:rsid w:val="00DD2C49"/>
    <w:rsid w:val="00DD2C5D"/>
    <w:rsid w:val="00DD2D9B"/>
    <w:rsid w:val="00DD3590"/>
    <w:rsid w:val="00DD3ABE"/>
    <w:rsid w:val="00DD413A"/>
    <w:rsid w:val="00DD41B5"/>
    <w:rsid w:val="00DD41E2"/>
    <w:rsid w:val="00DD42DF"/>
    <w:rsid w:val="00DD4CB5"/>
    <w:rsid w:val="00DD5767"/>
    <w:rsid w:val="00DD599B"/>
    <w:rsid w:val="00DD5E56"/>
    <w:rsid w:val="00DD60B0"/>
    <w:rsid w:val="00DD6486"/>
    <w:rsid w:val="00DD65EF"/>
    <w:rsid w:val="00DD6BDC"/>
    <w:rsid w:val="00DD6D63"/>
    <w:rsid w:val="00DD7309"/>
    <w:rsid w:val="00DD73E1"/>
    <w:rsid w:val="00DD746C"/>
    <w:rsid w:val="00DD76AF"/>
    <w:rsid w:val="00DD76E9"/>
    <w:rsid w:val="00DD7EB6"/>
    <w:rsid w:val="00DE0228"/>
    <w:rsid w:val="00DE0D87"/>
    <w:rsid w:val="00DE0E4E"/>
    <w:rsid w:val="00DE1585"/>
    <w:rsid w:val="00DE1802"/>
    <w:rsid w:val="00DE1B2F"/>
    <w:rsid w:val="00DE21B0"/>
    <w:rsid w:val="00DE2571"/>
    <w:rsid w:val="00DE25F5"/>
    <w:rsid w:val="00DE2948"/>
    <w:rsid w:val="00DE2A03"/>
    <w:rsid w:val="00DE2AB6"/>
    <w:rsid w:val="00DE2B20"/>
    <w:rsid w:val="00DE315F"/>
    <w:rsid w:val="00DE388E"/>
    <w:rsid w:val="00DE4104"/>
    <w:rsid w:val="00DE42C4"/>
    <w:rsid w:val="00DE4B2A"/>
    <w:rsid w:val="00DE4B8C"/>
    <w:rsid w:val="00DE4BC0"/>
    <w:rsid w:val="00DE51BB"/>
    <w:rsid w:val="00DE5821"/>
    <w:rsid w:val="00DE5B33"/>
    <w:rsid w:val="00DE6092"/>
    <w:rsid w:val="00DE65FE"/>
    <w:rsid w:val="00DE6700"/>
    <w:rsid w:val="00DE6811"/>
    <w:rsid w:val="00DE69DB"/>
    <w:rsid w:val="00DE6A92"/>
    <w:rsid w:val="00DE6C42"/>
    <w:rsid w:val="00DE72B5"/>
    <w:rsid w:val="00DE74A4"/>
    <w:rsid w:val="00DE7680"/>
    <w:rsid w:val="00DE7848"/>
    <w:rsid w:val="00DE7AE2"/>
    <w:rsid w:val="00DE7C41"/>
    <w:rsid w:val="00DE7C89"/>
    <w:rsid w:val="00DE7EC4"/>
    <w:rsid w:val="00DF04F0"/>
    <w:rsid w:val="00DF0ACB"/>
    <w:rsid w:val="00DF0D4C"/>
    <w:rsid w:val="00DF0DF7"/>
    <w:rsid w:val="00DF1BF9"/>
    <w:rsid w:val="00DF1CF6"/>
    <w:rsid w:val="00DF1EFE"/>
    <w:rsid w:val="00DF2819"/>
    <w:rsid w:val="00DF3285"/>
    <w:rsid w:val="00DF356C"/>
    <w:rsid w:val="00DF369B"/>
    <w:rsid w:val="00DF3B73"/>
    <w:rsid w:val="00DF3C79"/>
    <w:rsid w:val="00DF3CE2"/>
    <w:rsid w:val="00DF3E8C"/>
    <w:rsid w:val="00DF3E8D"/>
    <w:rsid w:val="00DF3F97"/>
    <w:rsid w:val="00DF41AC"/>
    <w:rsid w:val="00DF42B7"/>
    <w:rsid w:val="00DF42BA"/>
    <w:rsid w:val="00DF42BE"/>
    <w:rsid w:val="00DF444B"/>
    <w:rsid w:val="00DF4978"/>
    <w:rsid w:val="00DF528D"/>
    <w:rsid w:val="00DF5423"/>
    <w:rsid w:val="00DF54E2"/>
    <w:rsid w:val="00DF568B"/>
    <w:rsid w:val="00DF5ABE"/>
    <w:rsid w:val="00DF605F"/>
    <w:rsid w:val="00DF6342"/>
    <w:rsid w:val="00DF6E9A"/>
    <w:rsid w:val="00DF7108"/>
    <w:rsid w:val="00DF7703"/>
    <w:rsid w:val="00DF77E1"/>
    <w:rsid w:val="00DF78EC"/>
    <w:rsid w:val="00DF7D7A"/>
    <w:rsid w:val="00E00987"/>
    <w:rsid w:val="00E00CDC"/>
    <w:rsid w:val="00E01049"/>
    <w:rsid w:val="00E01064"/>
    <w:rsid w:val="00E01865"/>
    <w:rsid w:val="00E020D1"/>
    <w:rsid w:val="00E0260C"/>
    <w:rsid w:val="00E027BF"/>
    <w:rsid w:val="00E03090"/>
    <w:rsid w:val="00E03567"/>
    <w:rsid w:val="00E03576"/>
    <w:rsid w:val="00E035BE"/>
    <w:rsid w:val="00E03DA5"/>
    <w:rsid w:val="00E0400E"/>
    <w:rsid w:val="00E043F0"/>
    <w:rsid w:val="00E0472A"/>
    <w:rsid w:val="00E04772"/>
    <w:rsid w:val="00E04DB1"/>
    <w:rsid w:val="00E04EDE"/>
    <w:rsid w:val="00E04FED"/>
    <w:rsid w:val="00E0516C"/>
    <w:rsid w:val="00E052A8"/>
    <w:rsid w:val="00E0587F"/>
    <w:rsid w:val="00E0620D"/>
    <w:rsid w:val="00E06468"/>
    <w:rsid w:val="00E065F3"/>
    <w:rsid w:val="00E06A50"/>
    <w:rsid w:val="00E06B16"/>
    <w:rsid w:val="00E06E19"/>
    <w:rsid w:val="00E06F1B"/>
    <w:rsid w:val="00E0707E"/>
    <w:rsid w:val="00E0711A"/>
    <w:rsid w:val="00E07138"/>
    <w:rsid w:val="00E0726B"/>
    <w:rsid w:val="00E072D4"/>
    <w:rsid w:val="00E078BB"/>
    <w:rsid w:val="00E079A1"/>
    <w:rsid w:val="00E07A47"/>
    <w:rsid w:val="00E07B46"/>
    <w:rsid w:val="00E07FF8"/>
    <w:rsid w:val="00E10368"/>
    <w:rsid w:val="00E1081F"/>
    <w:rsid w:val="00E10C73"/>
    <w:rsid w:val="00E10F34"/>
    <w:rsid w:val="00E11422"/>
    <w:rsid w:val="00E11612"/>
    <w:rsid w:val="00E11CAB"/>
    <w:rsid w:val="00E11FC2"/>
    <w:rsid w:val="00E1269C"/>
    <w:rsid w:val="00E128AB"/>
    <w:rsid w:val="00E1297E"/>
    <w:rsid w:val="00E13118"/>
    <w:rsid w:val="00E131B3"/>
    <w:rsid w:val="00E13331"/>
    <w:rsid w:val="00E1353D"/>
    <w:rsid w:val="00E140BF"/>
    <w:rsid w:val="00E1497D"/>
    <w:rsid w:val="00E15064"/>
    <w:rsid w:val="00E150ED"/>
    <w:rsid w:val="00E15D46"/>
    <w:rsid w:val="00E16495"/>
    <w:rsid w:val="00E16529"/>
    <w:rsid w:val="00E1662E"/>
    <w:rsid w:val="00E1684A"/>
    <w:rsid w:val="00E168F7"/>
    <w:rsid w:val="00E16C9D"/>
    <w:rsid w:val="00E17211"/>
    <w:rsid w:val="00E17286"/>
    <w:rsid w:val="00E178F0"/>
    <w:rsid w:val="00E17A5C"/>
    <w:rsid w:val="00E17DEC"/>
    <w:rsid w:val="00E2032A"/>
    <w:rsid w:val="00E2052E"/>
    <w:rsid w:val="00E20C66"/>
    <w:rsid w:val="00E20E03"/>
    <w:rsid w:val="00E21588"/>
    <w:rsid w:val="00E21F73"/>
    <w:rsid w:val="00E222E8"/>
    <w:rsid w:val="00E23A2F"/>
    <w:rsid w:val="00E23CB8"/>
    <w:rsid w:val="00E2405B"/>
    <w:rsid w:val="00E243EF"/>
    <w:rsid w:val="00E24FAB"/>
    <w:rsid w:val="00E25184"/>
    <w:rsid w:val="00E254FD"/>
    <w:rsid w:val="00E2552E"/>
    <w:rsid w:val="00E25917"/>
    <w:rsid w:val="00E25CC5"/>
    <w:rsid w:val="00E25D29"/>
    <w:rsid w:val="00E26219"/>
    <w:rsid w:val="00E262BA"/>
    <w:rsid w:val="00E2637C"/>
    <w:rsid w:val="00E27084"/>
    <w:rsid w:val="00E273B1"/>
    <w:rsid w:val="00E27968"/>
    <w:rsid w:val="00E27AEA"/>
    <w:rsid w:val="00E27B7C"/>
    <w:rsid w:val="00E27C62"/>
    <w:rsid w:val="00E27D1B"/>
    <w:rsid w:val="00E30185"/>
    <w:rsid w:val="00E304E1"/>
    <w:rsid w:val="00E30857"/>
    <w:rsid w:val="00E30F7A"/>
    <w:rsid w:val="00E30F83"/>
    <w:rsid w:val="00E3163C"/>
    <w:rsid w:val="00E317C0"/>
    <w:rsid w:val="00E319FA"/>
    <w:rsid w:val="00E31ACB"/>
    <w:rsid w:val="00E32257"/>
    <w:rsid w:val="00E32BC9"/>
    <w:rsid w:val="00E32C49"/>
    <w:rsid w:val="00E32DA4"/>
    <w:rsid w:val="00E333B1"/>
    <w:rsid w:val="00E33703"/>
    <w:rsid w:val="00E337CB"/>
    <w:rsid w:val="00E33C60"/>
    <w:rsid w:val="00E33E8F"/>
    <w:rsid w:val="00E33F9B"/>
    <w:rsid w:val="00E34063"/>
    <w:rsid w:val="00E340C1"/>
    <w:rsid w:val="00E3415F"/>
    <w:rsid w:val="00E3443F"/>
    <w:rsid w:val="00E344D2"/>
    <w:rsid w:val="00E34545"/>
    <w:rsid w:val="00E346BE"/>
    <w:rsid w:val="00E347C6"/>
    <w:rsid w:val="00E34BD2"/>
    <w:rsid w:val="00E34E7B"/>
    <w:rsid w:val="00E35746"/>
    <w:rsid w:val="00E35870"/>
    <w:rsid w:val="00E35A87"/>
    <w:rsid w:val="00E35BCA"/>
    <w:rsid w:val="00E35E66"/>
    <w:rsid w:val="00E35F56"/>
    <w:rsid w:val="00E364CC"/>
    <w:rsid w:val="00E3657F"/>
    <w:rsid w:val="00E36727"/>
    <w:rsid w:val="00E367D9"/>
    <w:rsid w:val="00E36A3E"/>
    <w:rsid w:val="00E36B4D"/>
    <w:rsid w:val="00E36C08"/>
    <w:rsid w:val="00E371DE"/>
    <w:rsid w:val="00E37384"/>
    <w:rsid w:val="00E375A3"/>
    <w:rsid w:val="00E37678"/>
    <w:rsid w:val="00E37F5E"/>
    <w:rsid w:val="00E40C05"/>
    <w:rsid w:val="00E40FD6"/>
    <w:rsid w:val="00E41287"/>
    <w:rsid w:val="00E413B9"/>
    <w:rsid w:val="00E41955"/>
    <w:rsid w:val="00E41A9A"/>
    <w:rsid w:val="00E42036"/>
    <w:rsid w:val="00E42724"/>
    <w:rsid w:val="00E431B3"/>
    <w:rsid w:val="00E43305"/>
    <w:rsid w:val="00E43510"/>
    <w:rsid w:val="00E4386D"/>
    <w:rsid w:val="00E43A86"/>
    <w:rsid w:val="00E43CBA"/>
    <w:rsid w:val="00E43F0B"/>
    <w:rsid w:val="00E44165"/>
    <w:rsid w:val="00E443AE"/>
    <w:rsid w:val="00E446B1"/>
    <w:rsid w:val="00E4485D"/>
    <w:rsid w:val="00E44DD1"/>
    <w:rsid w:val="00E44ED7"/>
    <w:rsid w:val="00E45001"/>
    <w:rsid w:val="00E454A1"/>
    <w:rsid w:val="00E461E7"/>
    <w:rsid w:val="00E4676F"/>
    <w:rsid w:val="00E47013"/>
    <w:rsid w:val="00E472A7"/>
    <w:rsid w:val="00E47EA6"/>
    <w:rsid w:val="00E502D9"/>
    <w:rsid w:val="00E50431"/>
    <w:rsid w:val="00E50453"/>
    <w:rsid w:val="00E505D6"/>
    <w:rsid w:val="00E5098A"/>
    <w:rsid w:val="00E50CC2"/>
    <w:rsid w:val="00E511E4"/>
    <w:rsid w:val="00E517FD"/>
    <w:rsid w:val="00E51FF2"/>
    <w:rsid w:val="00E523AB"/>
    <w:rsid w:val="00E52493"/>
    <w:rsid w:val="00E52E8C"/>
    <w:rsid w:val="00E535B6"/>
    <w:rsid w:val="00E538AA"/>
    <w:rsid w:val="00E53B21"/>
    <w:rsid w:val="00E53BAB"/>
    <w:rsid w:val="00E53D62"/>
    <w:rsid w:val="00E53F49"/>
    <w:rsid w:val="00E53FE1"/>
    <w:rsid w:val="00E54335"/>
    <w:rsid w:val="00E5435F"/>
    <w:rsid w:val="00E5442B"/>
    <w:rsid w:val="00E5451D"/>
    <w:rsid w:val="00E5497C"/>
    <w:rsid w:val="00E54A38"/>
    <w:rsid w:val="00E54AB6"/>
    <w:rsid w:val="00E54F54"/>
    <w:rsid w:val="00E5507B"/>
    <w:rsid w:val="00E55B41"/>
    <w:rsid w:val="00E55D74"/>
    <w:rsid w:val="00E56189"/>
    <w:rsid w:val="00E56501"/>
    <w:rsid w:val="00E566C9"/>
    <w:rsid w:val="00E56934"/>
    <w:rsid w:val="00E56B3D"/>
    <w:rsid w:val="00E56E2C"/>
    <w:rsid w:val="00E56E8F"/>
    <w:rsid w:val="00E57E6F"/>
    <w:rsid w:val="00E57E7B"/>
    <w:rsid w:val="00E600BA"/>
    <w:rsid w:val="00E60380"/>
    <w:rsid w:val="00E604E7"/>
    <w:rsid w:val="00E60592"/>
    <w:rsid w:val="00E609B8"/>
    <w:rsid w:val="00E60A68"/>
    <w:rsid w:val="00E61034"/>
    <w:rsid w:val="00E6103F"/>
    <w:rsid w:val="00E612CF"/>
    <w:rsid w:val="00E61384"/>
    <w:rsid w:val="00E62223"/>
    <w:rsid w:val="00E6227E"/>
    <w:rsid w:val="00E62696"/>
    <w:rsid w:val="00E626F1"/>
    <w:rsid w:val="00E6282A"/>
    <w:rsid w:val="00E6286F"/>
    <w:rsid w:val="00E62A94"/>
    <w:rsid w:val="00E62BB2"/>
    <w:rsid w:val="00E62EFD"/>
    <w:rsid w:val="00E63004"/>
    <w:rsid w:val="00E63448"/>
    <w:rsid w:val="00E6354A"/>
    <w:rsid w:val="00E637A2"/>
    <w:rsid w:val="00E63B03"/>
    <w:rsid w:val="00E63E95"/>
    <w:rsid w:val="00E6440A"/>
    <w:rsid w:val="00E64866"/>
    <w:rsid w:val="00E648BD"/>
    <w:rsid w:val="00E64E68"/>
    <w:rsid w:val="00E652F3"/>
    <w:rsid w:val="00E65475"/>
    <w:rsid w:val="00E655A1"/>
    <w:rsid w:val="00E65775"/>
    <w:rsid w:val="00E65949"/>
    <w:rsid w:val="00E65C37"/>
    <w:rsid w:val="00E65CC8"/>
    <w:rsid w:val="00E662E3"/>
    <w:rsid w:val="00E6637E"/>
    <w:rsid w:val="00E66779"/>
    <w:rsid w:val="00E667EC"/>
    <w:rsid w:val="00E66BFE"/>
    <w:rsid w:val="00E673F0"/>
    <w:rsid w:val="00E67415"/>
    <w:rsid w:val="00E70371"/>
    <w:rsid w:val="00E70A38"/>
    <w:rsid w:val="00E70D90"/>
    <w:rsid w:val="00E712F4"/>
    <w:rsid w:val="00E71A7B"/>
    <w:rsid w:val="00E71AA1"/>
    <w:rsid w:val="00E71DA6"/>
    <w:rsid w:val="00E7247B"/>
    <w:rsid w:val="00E727C3"/>
    <w:rsid w:val="00E72A3D"/>
    <w:rsid w:val="00E72D22"/>
    <w:rsid w:val="00E72DC9"/>
    <w:rsid w:val="00E72DD2"/>
    <w:rsid w:val="00E72FE6"/>
    <w:rsid w:val="00E73710"/>
    <w:rsid w:val="00E73842"/>
    <w:rsid w:val="00E73FD5"/>
    <w:rsid w:val="00E7439B"/>
    <w:rsid w:val="00E743E9"/>
    <w:rsid w:val="00E74485"/>
    <w:rsid w:val="00E7478D"/>
    <w:rsid w:val="00E747AF"/>
    <w:rsid w:val="00E74815"/>
    <w:rsid w:val="00E75137"/>
    <w:rsid w:val="00E752AF"/>
    <w:rsid w:val="00E75686"/>
    <w:rsid w:val="00E75BB9"/>
    <w:rsid w:val="00E76539"/>
    <w:rsid w:val="00E768D7"/>
    <w:rsid w:val="00E76EAC"/>
    <w:rsid w:val="00E7710F"/>
    <w:rsid w:val="00E77AFC"/>
    <w:rsid w:val="00E80275"/>
    <w:rsid w:val="00E80282"/>
    <w:rsid w:val="00E804C8"/>
    <w:rsid w:val="00E80756"/>
    <w:rsid w:val="00E8078B"/>
    <w:rsid w:val="00E80860"/>
    <w:rsid w:val="00E80934"/>
    <w:rsid w:val="00E80A1C"/>
    <w:rsid w:val="00E8159F"/>
    <w:rsid w:val="00E81673"/>
    <w:rsid w:val="00E81677"/>
    <w:rsid w:val="00E81C01"/>
    <w:rsid w:val="00E81C94"/>
    <w:rsid w:val="00E81FBC"/>
    <w:rsid w:val="00E827EC"/>
    <w:rsid w:val="00E82CDC"/>
    <w:rsid w:val="00E82EF3"/>
    <w:rsid w:val="00E82F53"/>
    <w:rsid w:val="00E832B6"/>
    <w:rsid w:val="00E8351A"/>
    <w:rsid w:val="00E8368D"/>
    <w:rsid w:val="00E83D14"/>
    <w:rsid w:val="00E83F29"/>
    <w:rsid w:val="00E84102"/>
    <w:rsid w:val="00E8411A"/>
    <w:rsid w:val="00E8416B"/>
    <w:rsid w:val="00E8464C"/>
    <w:rsid w:val="00E84900"/>
    <w:rsid w:val="00E84BB3"/>
    <w:rsid w:val="00E84C1C"/>
    <w:rsid w:val="00E84C5E"/>
    <w:rsid w:val="00E84DD9"/>
    <w:rsid w:val="00E84F80"/>
    <w:rsid w:val="00E8521F"/>
    <w:rsid w:val="00E854FE"/>
    <w:rsid w:val="00E85ACF"/>
    <w:rsid w:val="00E85C70"/>
    <w:rsid w:val="00E86004"/>
    <w:rsid w:val="00E8617F"/>
    <w:rsid w:val="00E8623C"/>
    <w:rsid w:val="00E86E11"/>
    <w:rsid w:val="00E86EEA"/>
    <w:rsid w:val="00E8701E"/>
    <w:rsid w:val="00E87C9A"/>
    <w:rsid w:val="00E90192"/>
    <w:rsid w:val="00E9041F"/>
    <w:rsid w:val="00E907A9"/>
    <w:rsid w:val="00E90A0D"/>
    <w:rsid w:val="00E90D0C"/>
    <w:rsid w:val="00E9118C"/>
    <w:rsid w:val="00E9152D"/>
    <w:rsid w:val="00E91612"/>
    <w:rsid w:val="00E9163E"/>
    <w:rsid w:val="00E918A6"/>
    <w:rsid w:val="00E91A85"/>
    <w:rsid w:val="00E92049"/>
    <w:rsid w:val="00E9295D"/>
    <w:rsid w:val="00E92B94"/>
    <w:rsid w:val="00E92EA0"/>
    <w:rsid w:val="00E9317A"/>
    <w:rsid w:val="00E932C8"/>
    <w:rsid w:val="00E936E6"/>
    <w:rsid w:val="00E9377C"/>
    <w:rsid w:val="00E937A0"/>
    <w:rsid w:val="00E94045"/>
    <w:rsid w:val="00E9498A"/>
    <w:rsid w:val="00E94A74"/>
    <w:rsid w:val="00E94C7E"/>
    <w:rsid w:val="00E95145"/>
    <w:rsid w:val="00E952D7"/>
    <w:rsid w:val="00E95418"/>
    <w:rsid w:val="00E95893"/>
    <w:rsid w:val="00E95BD5"/>
    <w:rsid w:val="00E95BE5"/>
    <w:rsid w:val="00E961DA"/>
    <w:rsid w:val="00E96548"/>
    <w:rsid w:val="00E96DAB"/>
    <w:rsid w:val="00E96E9E"/>
    <w:rsid w:val="00E9702B"/>
    <w:rsid w:val="00E971C8"/>
    <w:rsid w:val="00E971D3"/>
    <w:rsid w:val="00E97A75"/>
    <w:rsid w:val="00E97C81"/>
    <w:rsid w:val="00EA032E"/>
    <w:rsid w:val="00EA06CD"/>
    <w:rsid w:val="00EA0939"/>
    <w:rsid w:val="00EA0BE2"/>
    <w:rsid w:val="00EA0CDE"/>
    <w:rsid w:val="00EA0F76"/>
    <w:rsid w:val="00EA1667"/>
    <w:rsid w:val="00EA1870"/>
    <w:rsid w:val="00EA18F5"/>
    <w:rsid w:val="00EA1967"/>
    <w:rsid w:val="00EA1B3C"/>
    <w:rsid w:val="00EA217A"/>
    <w:rsid w:val="00EA232C"/>
    <w:rsid w:val="00EA2455"/>
    <w:rsid w:val="00EA25B8"/>
    <w:rsid w:val="00EA2CDC"/>
    <w:rsid w:val="00EA2FC1"/>
    <w:rsid w:val="00EA3004"/>
    <w:rsid w:val="00EA3B41"/>
    <w:rsid w:val="00EA4046"/>
    <w:rsid w:val="00EA4264"/>
    <w:rsid w:val="00EA44B6"/>
    <w:rsid w:val="00EA4507"/>
    <w:rsid w:val="00EA4616"/>
    <w:rsid w:val="00EA4909"/>
    <w:rsid w:val="00EA4964"/>
    <w:rsid w:val="00EA4AAC"/>
    <w:rsid w:val="00EA4AD8"/>
    <w:rsid w:val="00EA4C5A"/>
    <w:rsid w:val="00EA5221"/>
    <w:rsid w:val="00EA5BBF"/>
    <w:rsid w:val="00EA5DF0"/>
    <w:rsid w:val="00EA6033"/>
    <w:rsid w:val="00EA628A"/>
    <w:rsid w:val="00EA62A8"/>
    <w:rsid w:val="00EA6316"/>
    <w:rsid w:val="00EA6681"/>
    <w:rsid w:val="00EA6748"/>
    <w:rsid w:val="00EA6D87"/>
    <w:rsid w:val="00EA6E4E"/>
    <w:rsid w:val="00EA6E90"/>
    <w:rsid w:val="00EA7052"/>
    <w:rsid w:val="00EA7D0B"/>
    <w:rsid w:val="00EA7D52"/>
    <w:rsid w:val="00EA7DE1"/>
    <w:rsid w:val="00EB068F"/>
    <w:rsid w:val="00EB0837"/>
    <w:rsid w:val="00EB0CC0"/>
    <w:rsid w:val="00EB0DDF"/>
    <w:rsid w:val="00EB0F15"/>
    <w:rsid w:val="00EB112A"/>
    <w:rsid w:val="00EB127C"/>
    <w:rsid w:val="00EB12F8"/>
    <w:rsid w:val="00EB1BC5"/>
    <w:rsid w:val="00EB1C3F"/>
    <w:rsid w:val="00EB2205"/>
    <w:rsid w:val="00EB25F8"/>
    <w:rsid w:val="00EB35B3"/>
    <w:rsid w:val="00EB3601"/>
    <w:rsid w:val="00EB367D"/>
    <w:rsid w:val="00EB392B"/>
    <w:rsid w:val="00EB3DAB"/>
    <w:rsid w:val="00EB4261"/>
    <w:rsid w:val="00EB46C5"/>
    <w:rsid w:val="00EB4944"/>
    <w:rsid w:val="00EB575C"/>
    <w:rsid w:val="00EB5E97"/>
    <w:rsid w:val="00EB6084"/>
    <w:rsid w:val="00EB6369"/>
    <w:rsid w:val="00EB63BC"/>
    <w:rsid w:val="00EB65E9"/>
    <w:rsid w:val="00EB66F2"/>
    <w:rsid w:val="00EB7D27"/>
    <w:rsid w:val="00EC0250"/>
    <w:rsid w:val="00EC046A"/>
    <w:rsid w:val="00EC047D"/>
    <w:rsid w:val="00EC0A10"/>
    <w:rsid w:val="00EC11DA"/>
    <w:rsid w:val="00EC1947"/>
    <w:rsid w:val="00EC1A54"/>
    <w:rsid w:val="00EC1ACA"/>
    <w:rsid w:val="00EC1B8F"/>
    <w:rsid w:val="00EC20FF"/>
    <w:rsid w:val="00EC2936"/>
    <w:rsid w:val="00EC2A05"/>
    <w:rsid w:val="00EC2A7A"/>
    <w:rsid w:val="00EC2E0B"/>
    <w:rsid w:val="00EC2F72"/>
    <w:rsid w:val="00EC3234"/>
    <w:rsid w:val="00EC324F"/>
    <w:rsid w:val="00EC3657"/>
    <w:rsid w:val="00EC38D1"/>
    <w:rsid w:val="00EC3AE7"/>
    <w:rsid w:val="00EC43B6"/>
    <w:rsid w:val="00EC43C9"/>
    <w:rsid w:val="00EC44E0"/>
    <w:rsid w:val="00EC4A29"/>
    <w:rsid w:val="00EC4D6E"/>
    <w:rsid w:val="00EC5150"/>
    <w:rsid w:val="00EC51C0"/>
    <w:rsid w:val="00EC53CF"/>
    <w:rsid w:val="00EC54B7"/>
    <w:rsid w:val="00EC5780"/>
    <w:rsid w:val="00EC5928"/>
    <w:rsid w:val="00EC5A1D"/>
    <w:rsid w:val="00EC5C35"/>
    <w:rsid w:val="00EC625D"/>
    <w:rsid w:val="00EC6398"/>
    <w:rsid w:val="00EC6877"/>
    <w:rsid w:val="00EC6A47"/>
    <w:rsid w:val="00EC6C4E"/>
    <w:rsid w:val="00EC709B"/>
    <w:rsid w:val="00EC7450"/>
    <w:rsid w:val="00EC7494"/>
    <w:rsid w:val="00EC75CB"/>
    <w:rsid w:val="00EC75EC"/>
    <w:rsid w:val="00EC7850"/>
    <w:rsid w:val="00EC7B36"/>
    <w:rsid w:val="00EC7B40"/>
    <w:rsid w:val="00EC7CE4"/>
    <w:rsid w:val="00ED03EC"/>
    <w:rsid w:val="00ED074F"/>
    <w:rsid w:val="00ED0834"/>
    <w:rsid w:val="00ED0D91"/>
    <w:rsid w:val="00ED11C9"/>
    <w:rsid w:val="00ED2051"/>
    <w:rsid w:val="00ED20B4"/>
    <w:rsid w:val="00ED2544"/>
    <w:rsid w:val="00ED3018"/>
    <w:rsid w:val="00ED35EB"/>
    <w:rsid w:val="00ED3846"/>
    <w:rsid w:val="00ED39C6"/>
    <w:rsid w:val="00ED410E"/>
    <w:rsid w:val="00ED47E7"/>
    <w:rsid w:val="00ED4A06"/>
    <w:rsid w:val="00ED4C1B"/>
    <w:rsid w:val="00ED4C3B"/>
    <w:rsid w:val="00ED4DE3"/>
    <w:rsid w:val="00ED5060"/>
    <w:rsid w:val="00ED5596"/>
    <w:rsid w:val="00ED576A"/>
    <w:rsid w:val="00ED65E1"/>
    <w:rsid w:val="00ED6D14"/>
    <w:rsid w:val="00ED6EEC"/>
    <w:rsid w:val="00ED72CF"/>
    <w:rsid w:val="00ED747A"/>
    <w:rsid w:val="00ED77AC"/>
    <w:rsid w:val="00ED787D"/>
    <w:rsid w:val="00ED7ADA"/>
    <w:rsid w:val="00ED7AE3"/>
    <w:rsid w:val="00ED7F16"/>
    <w:rsid w:val="00ED7F47"/>
    <w:rsid w:val="00EE0297"/>
    <w:rsid w:val="00EE02C2"/>
    <w:rsid w:val="00EE0360"/>
    <w:rsid w:val="00EE08CB"/>
    <w:rsid w:val="00EE0FE9"/>
    <w:rsid w:val="00EE1D87"/>
    <w:rsid w:val="00EE2012"/>
    <w:rsid w:val="00EE23E3"/>
    <w:rsid w:val="00EE25D5"/>
    <w:rsid w:val="00EE2861"/>
    <w:rsid w:val="00EE28AD"/>
    <w:rsid w:val="00EE2DAE"/>
    <w:rsid w:val="00EE2F7E"/>
    <w:rsid w:val="00EE30E0"/>
    <w:rsid w:val="00EE349D"/>
    <w:rsid w:val="00EE36C9"/>
    <w:rsid w:val="00EE36E6"/>
    <w:rsid w:val="00EE3877"/>
    <w:rsid w:val="00EE3CC6"/>
    <w:rsid w:val="00EE41F8"/>
    <w:rsid w:val="00EE43E3"/>
    <w:rsid w:val="00EE4426"/>
    <w:rsid w:val="00EE4BB6"/>
    <w:rsid w:val="00EE4C8E"/>
    <w:rsid w:val="00EE4F4D"/>
    <w:rsid w:val="00EE5581"/>
    <w:rsid w:val="00EE561D"/>
    <w:rsid w:val="00EE5A45"/>
    <w:rsid w:val="00EE5A4F"/>
    <w:rsid w:val="00EE5E87"/>
    <w:rsid w:val="00EE6A1C"/>
    <w:rsid w:val="00EE6F1D"/>
    <w:rsid w:val="00EE702F"/>
    <w:rsid w:val="00EE7A3B"/>
    <w:rsid w:val="00EE7A65"/>
    <w:rsid w:val="00EE7DA1"/>
    <w:rsid w:val="00EE7F21"/>
    <w:rsid w:val="00EF0676"/>
    <w:rsid w:val="00EF0A2D"/>
    <w:rsid w:val="00EF0FED"/>
    <w:rsid w:val="00EF1B27"/>
    <w:rsid w:val="00EF1C87"/>
    <w:rsid w:val="00EF2005"/>
    <w:rsid w:val="00EF24DB"/>
    <w:rsid w:val="00EF29E2"/>
    <w:rsid w:val="00EF2E6B"/>
    <w:rsid w:val="00EF2FF6"/>
    <w:rsid w:val="00EF32C3"/>
    <w:rsid w:val="00EF3676"/>
    <w:rsid w:val="00EF375B"/>
    <w:rsid w:val="00EF39CD"/>
    <w:rsid w:val="00EF3BC6"/>
    <w:rsid w:val="00EF4544"/>
    <w:rsid w:val="00EF4581"/>
    <w:rsid w:val="00EF5254"/>
    <w:rsid w:val="00EF539B"/>
    <w:rsid w:val="00EF56FA"/>
    <w:rsid w:val="00EF603D"/>
    <w:rsid w:val="00EF62CA"/>
    <w:rsid w:val="00EF63D6"/>
    <w:rsid w:val="00EF65A1"/>
    <w:rsid w:val="00EF65AB"/>
    <w:rsid w:val="00EF662C"/>
    <w:rsid w:val="00EF6851"/>
    <w:rsid w:val="00EF6992"/>
    <w:rsid w:val="00EF69A9"/>
    <w:rsid w:val="00EF6F61"/>
    <w:rsid w:val="00EF7425"/>
    <w:rsid w:val="00EF7654"/>
    <w:rsid w:val="00EF779B"/>
    <w:rsid w:val="00EF7818"/>
    <w:rsid w:val="00EF7B8D"/>
    <w:rsid w:val="00EF7D80"/>
    <w:rsid w:val="00EF7F6E"/>
    <w:rsid w:val="00F0005B"/>
    <w:rsid w:val="00F00222"/>
    <w:rsid w:val="00F004C6"/>
    <w:rsid w:val="00F006BE"/>
    <w:rsid w:val="00F00A25"/>
    <w:rsid w:val="00F00B9C"/>
    <w:rsid w:val="00F00EFD"/>
    <w:rsid w:val="00F00FF6"/>
    <w:rsid w:val="00F0103A"/>
    <w:rsid w:val="00F01141"/>
    <w:rsid w:val="00F0126C"/>
    <w:rsid w:val="00F01283"/>
    <w:rsid w:val="00F01408"/>
    <w:rsid w:val="00F01501"/>
    <w:rsid w:val="00F01AC2"/>
    <w:rsid w:val="00F020DC"/>
    <w:rsid w:val="00F02A4B"/>
    <w:rsid w:val="00F02DE6"/>
    <w:rsid w:val="00F02FB7"/>
    <w:rsid w:val="00F032C8"/>
    <w:rsid w:val="00F032F4"/>
    <w:rsid w:val="00F03392"/>
    <w:rsid w:val="00F03394"/>
    <w:rsid w:val="00F034B4"/>
    <w:rsid w:val="00F03635"/>
    <w:rsid w:val="00F037DB"/>
    <w:rsid w:val="00F03B58"/>
    <w:rsid w:val="00F03CD3"/>
    <w:rsid w:val="00F041E7"/>
    <w:rsid w:val="00F04467"/>
    <w:rsid w:val="00F045E1"/>
    <w:rsid w:val="00F04725"/>
    <w:rsid w:val="00F04A5E"/>
    <w:rsid w:val="00F04E0C"/>
    <w:rsid w:val="00F05150"/>
    <w:rsid w:val="00F053C4"/>
    <w:rsid w:val="00F054DB"/>
    <w:rsid w:val="00F059BF"/>
    <w:rsid w:val="00F05C05"/>
    <w:rsid w:val="00F05CCF"/>
    <w:rsid w:val="00F05DA5"/>
    <w:rsid w:val="00F06013"/>
    <w:rsid w:val="00F06830"/>
    <w:rsid w:val="00F068BF"/>
    <w:rsid w:val="00F068FC"/>
    <w:rsid w:val="00F069D0"/>
    <w:rsid w:val="00F06A05"/>
    <w:rsid w:val="00F07062"/>
    <w:rsid w:val="00F071FD"/>
    <w:rsid w:val="00F07285"/>
    <w:rsid w:val="00F076D7"/>
    <w:rsid w:val="00F078F0"/>
    <w:rsid w:val="00F07B75"/>
    <w:rsid w:val="00F07C20"/>
    <w:rsid w:val="00F10007"/>
    <w:rsid w:val="00F1030D"/>
    <w:rsid w:val="00F10B9C"/>
    <w:rsid w:val="00F10D61"/>
    <w:rsid w:val="00F10F51"/>
    <w:rsid w:val="00F112C6"/>
    <w:rsid w:val="00F11639"/>
    <w:rsid w:val="00F11CCE"/>
    <w:rsid w:val="00F11D13"/>
    <w:rsid w:val="00F1205E"/>
    <w:rsid w:val="00F1294E"/>
    <w:rsid w:val="00F13259"/>
    <w:rsid w:val="00F132A0"/>
    <w:rsid w:val="00F13806"/>
    <w:rsid w:val="00F13CCF"/>
    <w:rsid w:val="00F1440E"/>
    <w:rsid w:val="00F14591"/>
    <w:rsid w:val="00F14BEA"/>
    <w:rsid w:val="00F14D6B"/>
    <w:rsid w:val="00F14D90"/>
    <w:rsid w:val="00F14DEE"/>
    <w:rsid w:val="00F14ED4"/>
    <w:rsid w:val="00F14FEF"/>
    <w:rsid w:val="00F15262"/>
    <w:rsid w:val="00F152C1"/>
    <w:rsid w:val="00F1542F"/>
    <w:rsid w:val="00F15D6D"/>
    <w:rsid w:val="00F15D95"/>
    <w:rsid w:val="00F1601B"/>
    <w:rsid w:val="00F1665A"/>
    <w:rsid w:val="00F1673A"/>
    <w:rsid w:val="00F168EB"/>
    <w:rsid w:val="00F16F38"/>
    <w:rsid w:val="00F17708"/>
    <w:rsid w:val="00F177E8"/>
    <w:rsid w:val="00F17B80"/>
    <w:rsid w:val="00F17D9C"/>
    <w:rsid w:val="00F20304"/>
    <w:rsid w:val="00F20713"/>
    <w:rsid w:val="00F209CB"/>
    <w:rsid w:val="00F20A9C"/>
    <w:rsid w:val="00F210D1"/>
    <w:rsid w:val="00F210DE"/>
    <w:rsid w:val="00F2117B"/>
    <w:rsid w:val="00F21844"/>
    <w:rsid w:val="00F2189B"/>
    <w:rsid w:val="00F218FB"/>
    <w:rsid w:val="00F21B4C"/>
    <w:rsid w:val="00F21C38"/>
    <w:rsid w:val="00F21C7D"/>
    <w:rsid w:val="00F220F5"/>
    <w:rsid w:val="00F22772"/>
    <w:rsid w:val="00F228DB"/>
    <w:rsid w:val="00F22A16"/>
    <w:rsid w:val="00F22A8B"/>
    <w:rsid w:val="00F22A90"/>
    <w:rsid w:val="00F22B45"/>
    <w:rsid w:val="00F22F7B"/>
    <w:rsid w:val="00F23131"/>
    <w:rsid w:val="00F2335D"/>
    <w:rsid w:val="00F23457"/>
    <w:rsid w:val="00F23667"/>
    <w:rsid w:val="00F23B72"/>
    <w:rsid w:val="00F24FC2"/>
    <w:rsid w:val="00F25013"/>
    <w:rsid w:val="00F2522E"/>
    <w:rsid w:val="00F25415"/>
    <w:rsid w:val="00F25A92"/>
    <w:rsid w:val="00F260AB"/>
    <w:rsid w:val="00F2623D"/>
    <w:rsid w:val="00F26405"/>
    <w:rsid w:val="00F265C3"/>
    <w:rsid w:val="00F26E00"/>
    <w:rsid w:val="00F26E97"/>
    <w:rsid w:val="00F27E9C"/>
    <w:rsid w:val="00F27F84"/>
    <w:rsid w:val="00F27FAA"/>
    <w:rsid w:val="00F30C16"/>
    <w:rsid w:val="00F31593"/>
    <w:rsid w:val="00F316CF"/>
    <w:rsid w:val="00F31734"/>
    <w:rsid w:val="00F31830"/>
    <w:rsid w:val="00F31E6B"/>
    <w:rsid w:val="00F31E7E"/>
    <w:rsid w:val="00F3211C"/>
    <w:rsid w:val="00F32296"/>
    <w:rsid w:val="00F3268D"/>
    <w:rsid w:val="00F327F5"/>
    <w:rsid w:val="00F329AC"/>
    <w:rsid w:val="00F32F06"/>
    <w:rsid w:val="00F33606"/>
    <w:rsid w:val="00F337DA"/>
    <w:rsid w:val="00F337F2"/>
    <w:rsid w:val="00F3394E"/>
    <w:rsid w:val="00F33E6B"/>
    <w:rsid w:val="00F33F28"/>
    <w:rsid w:val="00F33F44"/>
    <w:rsid w:val="00F33F89"/>
    <w:rsid w:val="00F345DD"/>
    <w:rsid w:val="00F34685"/>
    <w:rsid w:val="00F34699"/>
    <w:rsid w:val="00F35373"/>
    <w:rsid w:val="00F354AE"/>
    <w:rsid w:val="00F35A19"/>
    <w:rsid w:val="00F35F72"/>
    <w:rsid w:val="00F35F96"/>
    <w:rsid w:val="00F36A0D"/>
    <w:rsid w:val="00F36ABB"/>
    <w:rsid w:val="00F36F52"/>
    <w:rsid w:val="00F3700A"/>
    <w:rsid w:val="00F3743A"/>
    <w:rsid w:val="00F3770A"/>
    <w:rsid w:val="00F37761"/>
    <w:rsid w:val="00F37C23"/>
    <w:rsid w:val="00F40072"/>
    <w:rsid w:val="00F406DD"/>
    <w:rsid w:val="00F40883"/>
    <w:rsid w:val="00F40928"/>
    <w:rsid w:val="00F40E9F"/>
    <w:rsid w:val="00F40FB7"/>
    <w:rsid w:val="00F41017"/>
    <w:rsid w:val="00F417ED"/>
    <w:rsid w:val="00F41DFD"/>
    <w:rsid w:val="00F41E77"/>
    <w:rsid w:val="00F42D31"/>
    <w:rsid w:val="00F42D61"/>
    <w:rsid w:val="00F42DBC"/>
    <w:rsid w:val="00F42F93"/>
    <w:rsid w:val="00F432CE"/>
    <w:rsid w:val="00F4370D"/>
    <w:rsid w:val="00F43771"/>
    <w:rsid w:val="00F43B6E"/>
    <w:rsid w:val="00F43C2D"/>
    <w:rsid w:val="00F43CAC"/>
    <w:rsid w:val="00F44480"/>
    <w:rsid w:val="00F45016"/>
    <w:rsid w:val="00F45201"/>
    <w:rsid w:val="00F4571B"/>
    <w:rsid w:val="00F45A4F"/>
    <w:rsid w:val="00F45E07"/>
    <w:rsid w:val="00F460FE"/>
    <w:rsid w:val="00F4695C"/>
    <w:rsid w:val="00F4796B"/>
    <w:rsid w:val="00F47A9B"/>
    <w:rsid w:val="00F47C60"/>
    <w:rsid w:val="00F47E6C"/>
    <w:rsid w:val="00F47F10"/>
    <w:rsid w:val="00F501E5"/>
    <w:rsid w:val="00F5042E"/>
    <w:rsid w:val="00F504DD"/>
    <w:rsid w:val="00F50517"/>
    <w:rsid w:val="00F50740"/>
    <w:rsid w:val="00F50903"/>
    <w:rsid w:val="00F5097A"/>
    <w:rsid w:val="00F50A55"/>
    <w:rsid w:val="00F50AC9"/>
    <w:rsid w:val="00F50F4A"/>
    <w:rsid w:val="00F51375"/>
    <w:rsid w:val="00F51A72"/>
    <w:rsid w:val="00F51EF2"/>
    <w:rsid w:val="00F51F0A"/>
    <w:rsid w:val="00F51F78"/>
    <w:rsid w:val="00F52239"/>
    <w:rsid w:val="00F5223D"/>
    <w:rsid w:val="00F5268F"/>
    <w:rsid w:val="00F52806"/>
    <w:rsid w:val="00F52A4B"/>
    <w:rsid w:val="00F52A59"/>
    <w:rsid w:val="00F52C1E"/>
    <w:rsid w:val="00F52DF0"/>
    <w:rsid w:val="00F52E90"/>
    <w:rsid w:val="00F533E2"/>
    <w:rsid w:val="00F533E3"/>
    <w:rsid w:val="00F53618"/>
    <w:rsid w:val="00F53B81"/>
    <w:rsid w:val="00F53CA4"/>
    <w:rsid w:val="00F53CF3"/>
    <w:rsid w:val="00F54121"/>
    <w:rsid w:val="00F54235"/>
    <w:rsid w:val="00F54265"/>
    <w:rsid w:val="00F5481D"/>
    <w:rsid w:val="00F54EDD"/>
    <w:rsid w:val="00F55027"/>
    <w:rsid w:val="00F550FC"/>
    <w:rsid w:val="00F554F6"/>
    <w:rsid w:val="00F5599C"/>
    <w:rsid w:val="00F5599D"/>
    <w:rsid w:val="00F55F34"/>
    <w:rsid w:val="00F56178"/>
    <w:rsid w:val="00F56EE7"/>
    <w:rsid w:val="00F5721F"/>
    <w:rsid w:val="00F5760D"/>
    <w:rsid w:val="00F577F6"/>
    <w:rsid w:val="00F57860"/>
    <w:rsid w:val="00F605A3"/>
    <w:rsid w:val="00F6078F"/>
    <w:rsid w:val="00F60B92"/>
    <w:rsid w:val="00F60CFA"/>
    <w:rsid w:val="00F60F29"/>
    <w:rsid w:val="00F60FB5"/>
    <w:rsid w:val="00F61034"/>
    <w:rsid w:val="00F61106"/>
    <w:rsid w:val="00F61DCE"/>
    <w:rsid w:val="00F61DFF"/>
    <w:rsid w:val="00F61FA1"/>
    <w:rsid w:val="00F623EA"/>
    <w:rsid w:val="00F625D0"/>
    <w:rsid w:val="00F62776"/>
    <w:rsid w:val="00F62CA9"/>
    <w:rsid w:val="00F62E1A"/>
    <w:rsid w:val="00F63D11"/>
    <w:rsid w:val="00F644C5"/>
    <w:rsid w:val="00F64808"/>
    <w:rsid w:val="00F64C3F"/>
    <w:rsid w:val="00F64EE1"/>
    <w:rsid w:val="00F64F88"/>
    <w:rsid w:val="00F6517C"/>
    <w:rsid w:val="00F653B2"/>
    <w:rsid w:val="00F654A9"/>
    <w:rsid w:val="00F65692"/>
    <w:rsid w:val="00F65809"/>
    <w:rsid w:val="00F65D5C"/>
    <w:rsid w:val="00F66160"/>
    <w:rsid w:val="00F665C9"/>
    <w:rsid w:val="00F666C8"/>
    <w:rsid w:val="00F6692A"/>
    <w:rsid w:val="00F66D58"/>
    <w:rsid w:val="00F66E20"/>
    <w:rsid w:val="00F66E38"/>
    <w:rsid w:val="00F67470"/>
    <w:rsid w:val="00F67624"/>
    <w:rsid w:val="00F67682"/>
    <w:rsid w:val="00F67A1C"/>
    <w:rsid w:val="00F67B30"/>
    <w:rsid w:val="00F70255"/>
    <w:rsid w:val="00F702FB"/>
    <w:rsid w:val="00F70357"/>
    <w:rsid w:val="00F706FC"/>
    <w:rsid w:val="00F709B4"/>
    <w:rsid w:val="00F70C1F"/>
    <w:rsid w:val="00F70F20"/>
    <w:rsid w:val="00F70FA4"/>
    <w:rsid w:val="00F711C0"/>
    <w:rsid w:val="00F712D4"/>
    <w:rsid w:val="00F716C1"/>
    <w:rsid w:val="00F716DD"/>
    <w:rsid w:val="00F71D30"/>
    <w:rsid w:val="00F721A9"/>
    <w:rsid w:val="00F72A3D"/>
    <w:rsid w:val="00F734BF"/>
    <w:rsid w:val="00F735E9"/>
    <w:rsid w:val="00F74171"/>
    <w:rsid w:val="00F742CD"/>
    <w:rsid w:val="00F74961"/>
    <w:rsid w:val="00F75013"/>
    <w:rsid w:val="00F7559D"/>
    <w:rsid w:val="00F758D5"/>
    <w:rsid w:val="00F75E6F"/>
    <w:rsid w:val="00F75EB6"/>
    <w:rsid w:val="00F75EEB"/>
    <w:rsid w:val="00F7633B"/>
    <w:rsid w:val="00F763C9"/>
    <w:rsid w:val="00F76544"/>
    <w:rsid w:val="00F76A4C"/>
    <w:rsid w:val="00F76B70"/>
    <w:rsid w:val="00F76FAB"/>
    <w:rsid w:val="00F7749D"/>
    <w:rsid w:val="00F77594"/>
    <w:rsid w:val="00F77711"/>
    <w:rsid w:val="00F77A6E"/>
    <w:rsid w:val="00F77D81"/>
    <w:rsid w:val="00F77E6A"/>
    <w:rsid w:val="00F80203"/>
    <w:rsid w:val="00F80656"/>
    <w:rsid w:val="00F80671"/>
    <w:rsid w:val="00F80B80"/>
    <w:rsid w:val="00F814E4"/>
    <w:rsid w:val="00F81789"/>
    <w:rsid w:val="00F817FC"/>
    <w:rsid w:val="00F81828"/>
    <w:rsid w:val="00F81875"/>
    <w:rsid w:val="00F81B51"/>
    <w:rsid w:val="00F81D3A"/>
    <w:rsid w:val="00F81DFA"/>
    <w:rsid w:val="00F8204A"/>
    <w:rsid w:val="00F820B5"/>
    <w:rsid w:val="00F8261C"/>
    <w:rsid w:val="00F82651"/>
    <w:rsid w:val="00F8286B"/>
    <w:rsid w:val="00F82DC4"/>
    <w:rsid w:val="00F82E37"/>
    <w:rsid w:val="00F8321E"/>
    <w:rsid w:val="00F83270"/>
    <w:rsid w:val="00F837EA"/>
    <w:rsid w:val="00F83CC5"/>
    <w:rsid w:val="00F83E7D"/>
    <w:rsid w:val="00F842C6"/>
    <w:rsid w:val="00F8484D"/>
    <w:rsid w:val="00F848B2"/>
    <w:rsid w:val="00F84D1C"/>
    <w:rsid w:val="00F8570C"/>
    <w:rsid w:val="00F857BD"/>
    <w:rsid w:val="00F85884"/>
    <w:rsid w:val="00F85D0F"/>
    <w:rsid w:val="00F85D47"/>
    <w:rsid w:val="00F85EA4"/>
    <w:rsid w:val="00F860A2"/>
    <w:rsid w:val="00F860AA"/>
    <w:rsid w:val="00F8626E"/>
    <w:rsid w:val="00F86C8F"/>
    <w:rsid w:val="00F86ED1"/>
    <w:rsid w:val="00F877BA"/>
    <w:rsid w:val="00F87824"/>
    <w:rsid w:val="00F8783D"/>
    <w:rsid w:val="00F87E1C"/>
    <w:rsid w:val="00F91850"/>
    <w:rsid w:val="00F91AE3"/>
    <w:rsid w:val="00F91BF8"/>
    <w:rsid w:val="00F91C5E"/>
    <w:rsid w:val="00F91DB4"/>
    <w:rsid w:val="00F92297"/>
    <w:rsid w:val="00F927E0"/>
    <w:rsid w:val="00F92C13"/>
    <w:rsid w:val="00F92DC6"/>
    <w:rsid w:val="00F93162"/>
    <w:rsid w:val="00F932B6"/>
    <w:rsid w:val="00F9404D"/>
    <w:rsid w:val="00F94182"/>
    <w:rsid w:val="00F94798"/>
    <w:rsid w:val="00F94CCC"/>
    <w:rsid w:val="00F953F9"/>
    <w:rsid w:val="00F956AA"/>
    <w:rsid w:val="00F956F4"/>
    <w:rsid w:val="00F95720"/>
    <w:rsid w:val="00F95DF2"/>
    <w:rsid w:val="00F963EF"/>
    <w:rsid w:val="00F96953"/>
    <w:rsid w:val="00F96A89"/>
    <w:rsid w:val="00F96C91"/>
    <w:rsid w:val="00F970C2"/>
    <w:rsid w:val="00F97663"/>
    <w:rsid w:val="00F976BB"/>
    <w:rsid w:val="00F97986"/>
    <w:rsid w:val="00F97C36"/>
    <w:rsid w:val="00FA0056"/>
    <w:rsid w:val="00FA062C"/>
    <w:rsid w:val="00FA0DEA"/>
    <w:rsid w:val="00FA0FBF"/>
    <w:rsid w:val="00FA12E1"/>
    <w:rsid w:val="00FA1D01"/>
    <w:rsid w:val="00FA2041"/>
    <w:rsid w:val="00FA24FC"/>
    <w:rsid w:val="00FA2606"/>
    <w:rsid w:val="00FA33F8"/>
    <w:rsid w:val="00FA3817"/>
    <w:rsid w:val="00FA3A2E"/>
    <w:rsid w:val="00FA3E24"/>
    <w:rsid w:val="00FA4104"/>
    <w:rsid w:val="00FA49E6"/>
    <w:rsid w:val="00FA4D10"/>
    <w:rsid w:val="00FA5069"/>
    <w:rsid w:val="00FA542B"/>
    <w:rsid w:val="00FA55E3"/>
    <w:rsid w:val="00FA6119"/>
    <w:rsid w:val="00FA6297"/>
    <w:rsid w:val="00FA6479"/>
    <w:rsid w:val="00FA65C7"/>
    <w:rsid w:val="00FA67D5"/>
    <w:rsid w:val="00FA6A4C"/>
    <w:rsid w:val="00FA7801"/>
    <w:rsid w:val="00FA79A6"/>
    <w:rsid w:val="00FA7CB7"/>
    <w:rsid w:val="00FA7DA7"/>
    <w:rsid w:val="00FB070C"/>
    <w:rsid w:val="00FB086C"/>
    <w:rsid w:val="00FB1018"/>
    <w:rsid w:val="00FB1421"/>
    <w:rsid w:val="00FB1B6D"/>
    <w:rsid w:val="00FB1CD0"/>
    <w:rsid w:val="00FB200B"/>
    <w:rsid w:val="00FB22A0"/>
    <w:rsid w:val="00FB291A"/>
    <w:rsid w:val="00FB297C"/>
    <w:rsid w:val="00FB2A60"/>
    <w:rsid w:val="00FB2E10"/>
    <w:rsid w:val="00FB2F19"/>
    <w:rsid w:val="00FB2F51"/>
    <w:rsid w:val="00FB31EE"/>
    <w:rsid w:val="00FB3CCD"/>
    <w:rsid w:val="00FB3D7E"/>
    <w:rsid w:val="00FB401B"/>
    <w:rsid w:val="00FB4425"/>
    <w:rsid w:val="00FB4694"/>
    <w:rsid w:val="00FB470F"/>
    <w:rsid w:val="00FB4B15"/>
    <w:rsid w:val="00FB5CA5"/>
    <w:rsid w:val="00FB5CD0"/>
    <w:rsid w:val="00FB5EE6"/>
    <w:rsid w:val="00FB5FD5"/>
    <w:rsid w:val="00FB6244"/>
    <w:rsid w:val="00FB650C"/>
    <w:rsid w:val="00FB65A6"/>
    <w:rsid w:val="00FB65E9"/>
    <w:rsid w:val="00FB6E20"/>
    <w:rsid w:val="00FB7292"/>
    <w:rsid w:val="00FB7317"/>
    <w:rsid w:val="00FB7426"/>
    <w:rsid w:val="00FB793B"/>
    <w:rsid w:val="00FB7C9F"/>
    <w:rsid w:val="00FC012B"/>
    <w:rsid w:val="00FC0CA9"/>
    <w:rsid w:val="00FC1304"/>
    <w:rsid w:val="00FC13C8"/>
    <w:rsid w:val="00FC1526"/>
    <w:rsid w:val="00FC1884"/>
    <w:rsid w:val="00FC1D95"/>
    <w:rsid w:val="00FC1E36"/>
    <w:rsid w:val="00FC1EA5"/>
    <w:rsid w:val="00FC1FB5"/>
    <w:rsid w:val="00FC23D5"/>
    <w:rsid w:val="00FC242A"/>
    <w:rsid w:val="00FC25F2"/>
    <w:rsid w:val="00FC28C0"/>
    <w:rsid w:val="00FC2B50"/>
    <w:rsid w:val="00FC2EAC"/>
    <w:rsid w:val="00FC34C4"/>
    <w:rsid w:val="00FC3658"/>
    <w:rsid w:val="00FC400E"/>
    <w:rsid w:val="00FC4518"/>
    <w:rsid w:val="00FC46B2"/>
    <w:rsid w:val="00FC4BCD"/>
    <w:rsid w:val="00FC4C49"/>
    <w:rsid w:val="00FC4CAD"/>
    <w:rsid w:val="00FC4E55"/>
    <w:rsid w:val="00FC55F0"/>
    <w:rsid w:val="00FC63DF"/>
    <w:rsid w:val="00FC65E8"/>
    <w:rsid w:val="00FC690F"/>
    <w:rsid w:val="00FC6FFB"/>
    <w:rsid w:val="00FC7339"/>
    <w:rsid w:val="00FC7A8F"/>
    <w:rsid w:val="00FC7D67"/>
    <w:rsid w:val="00FD0052"/>
    <w:rsid w:val="00FD0076"/>
    <w:rsid w:val="00FD0661"/>
    <w:rsid w:val="00FD06AE"/>
    <w:rsid w:val="00FD0FF8"/>
    <w:rsid w:val="00FD10CA"/>
    <w:rsid w:val="00FD117D"/>
    <w:rsid w:val="00FD15E1"/>
    <w:rsid w:val="00FD250C"/>
    <w:rsid w:val="00FD274C"/>
    <w:rsid w:val="00FD2D45"/>
    <w:rsid w:val="00FD3066"/>
    <w:rsid w:val="00FD31AC"/>
    <w:rsid w:val="00FD3313"/>
    <w:rsid w:val="00FD3435"/>
    <w:rsid w:val="00FD3704"/>
    <w:rsid w:val="00FD389B"/>
    <w:rsid w:val="00FD39DC"/>
    <w:rsid w:val="00FD3EDF"/>
    <w:rsid w:val="00FD3F2E"/>
    <w:rsid w:val="00FD4061"/>
    <w:rsid w:val="00FD4F11"/>
    <w:rsid w:val="00FD5206"/>
    <w:rsid w:val="00FD54A3"/>
    <w:rsid w:val="00FD56DC"/>
    <w:rsid w:val="00FD5AF2"/>
    <w:rsid w:val="00FD5C6A"/>
    <w:rsid w:val="00FD5E81"/>
    <w:rsid w:val="00FD6028"/>
    <w:rsid w:val="00FD62E6"/>
    <w:rsid w:val="00FD671B"/>
    <w:rsid w:val="00FD681A"/>
    <w:rsid w:val="00FD6B87"/>
    <w:rsid w:val="00FD6BEA"/>
    <w:rsid w:val="00FD6CCD"/>
    <w:rsid w:val="00FD6DF7"/>
    <w:rsid w:val="00FD74F1"/>
    <w:rsid w:val="00FD7DD4"/>
    <w:rsid w:val="00FD7F74"/>
    <w:rsid w:val="00FE00A3"/>
    <w:rsid w:val="00FE01C8"/>
    <w:rsid w:val="00FE06CB"/>
    <w:rsid w:val="00FE0A91"/>
    <w:rsid w:val="00FE0CF1"/>
    <w:rsid w:val="00FE0EF5"/>
    <w:rsid w:val="00FE0F12"/>
    <w:rsid w:val="00FE10BD"/>
    <w:rsid w:val="00FE1144"/>
    <w:rsid w:val="00FE118A"/>
    <w:rsid w:val="00FE1293"/>
    <w:rsid w:val="00FE132B"/>
    <w:rsid w:val="00FE1339"/>
    <w:rsid w:val="00FE1BD9"/>
    <w:rsid w:val="00FE2A50"/>
    <w:rsid w:val="00FE3607"/>
    <w:rsid w:val="00FE3634"/>
    <w:rsid w:val="00FE3B66"/>
    <w:rsid w:val="00FE3CEA"/>
    <w:rsid w:val="00FE48F2"/>
    <w:rsid w:val="00FE4A19"/>
    <w:rsid w:val="00FE4F9A"/>
    <w:rsid w:val="00FE520F"/>
    <w:rsid w:val="00FE5372"/>
    <w:rsid w:val="00FE58C3"/>
    <w:rsid w:val="00FE592B"/>
    <w:rsid w:val="00FE5B23"/>
    <w:rsid w:val="00FE5ECF"/>
    <w:rsid w:val="00FE6263"/>
    <w:rsid w:val="00FE6A5F"/>
    <w:rsid w:val="00FE6AF4"/>
    <w:rsid w:val="00FE6ECA"/>
    <w:rsid w:val="00FE7782"/>
    <w:rsid w:val="00FF0323"/>
    <w:rsid w:val="00FF0497"/>
    <w:rsid w:val="00FF0C04"/>
    <w:rsid w:val="00FF10FF"/>
    <w:rsid w:val="00FF129B"/>
    <w:rsid w:val="00FF133C"/>
    <w:rsid w:val="00FF1D80"/>
    <w:rsid w:val="00FF1EF8"/>
    <w:rsid w:val="00FF207C"/>
    <w:rsid w:val="00FF21A1"/>
    <w:rsid w:val="00FF228C"/>
    <w:rsid w:val="00FF22A8"/>
    <w:rsid w:val="00FF22C6"/>
    <w:rsid w:val="00FF27E2"/>
    <w:rsid w:val="00FF2911"/>
    <w:rsid w:val="00FF3035"/>
    <w:rsid w:val="00FF353C"/>
    <w:rsid w:val="00FF38EC"/>
    <w:rsid w:val="00FF3D74"/>
    <w:rsid w:val="00FF403B"/>
    <w:rsid w:val="00FF443A"/>
    <w:rsid w:val="00FF47C1"/>
    <w:rsid w:val="00FF48A3"/>
    <w:rsid w:val="00FF48D4"/>
    <w:rsid w:val="00FF4C7D"/>
    <w:rsid w:val="00FF4C8C"/>
    <w:rsid w:val="00FF4E38"/>
    <w:rsid w:val="00FF529E"/>
    <w:rsid w:val="00FF5364"/>
    <w:rsid w:val="00FF5B1C"/>
    <w:rsid w:val="00FF5E94"/>
    <w:rsid w:val="00FF5E97"/>
    <w:rsid w:val="00FF6221"/>
    <w:rsid w:val="00FF63F0"/>
    <w:rsid w:val="00FF6563"/>
    <w:rsid w:val="00FF65FD"/>
    <w:rsid w:val="00FF67FF"/>
    <w:rsid w:val="00FF6971"/>
    <w:rsid w:val="00FF6B24"/>
    <w:rsid w:val="00FF6BAA"/>
    <w:rsid w:val="00FF6D05"/>
    <w:rsid w:val="00FF6E36"/>
    <w:rsid w:val="00FF740F"/>
    <w:rsid w:val="00FF7C92"/>
    <w:rsid w:val="00FF7D60"/>
    <w:rsid w:val="00FF7EEC"/>
    <w:rsid w:val="12E41C27"/>
    <w:rsid w:val="294E2020"/>
    <w:rsid w:val="30C351A2"/>
    <w:rsid w:val="45C91448"/>
    <w:rsid w:val="45D47120"/>
    <w:rsid w:val="47907900"/>
    <w:rsid w:val="48136834"/>
    <w:rsid w:val="55F51AB2"/>
    <w:rsid w:val="58B419A3"/>
    <w:rsid w:val="60C02550"/>
    <w:rsid w:val="6CC509D6"/>
    <w:rsid w:val="6F4818E6"/>
    <w:rsid w:val="77892AB4"/>
    <w:rsid w:val="7C892F6B"/>
  </w:rsids>
  <w:doNotAutoCompressPicture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name="footnote reference"/>
    <w:lsdException w:qFormat="1" w:unhideWhenUsed="0" w:uiPriority="99" w:name="annotation reference"/>
    <w:lsdException w:uiPriority="99" w:name="line number"/>
    <w:lsdException w:qFormat="1" w:unhideWhenUsed="0" w:uiPriority="99" w:semiHidden="0" w:name="page number"/>
    <w:lsdException w:qFormat="1" w:unhideWhenUsed="0" w:uiPriority="99" w:name="endnote reference"/>
    <w:lsdException w:qFormat="1" w:unhideWhenUsed="0"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0" w:name="Plain Text" w:locked="1"/>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40" w:lineRule="exact"/>
      <w:ind w:firstLine="200" w:firstLineChars="200"/>
      <w:jc w:val="both"/>
    </w:pPr>
    <w:rPr>
      <w:rFonts w:ascii="Times New Roman" w:hAnsi="Times New Roman" w:eastAsia="仿宋" w:cs="Times New Roman"/>
      <w:kern w:val="2"/>
      <w:sz w:val="32"/>
      <w:szCs w:val="24"/>
      <w:lang w:val="en-US" w:eastAsia="zh-CN" w:bidi="ar-SA"/>
    </w:rPr>
  </w:style>
  <w:style w:type="paragraph" w:styleId="2">
    <w:name w:val="heading 1"/>
    <w:basedOn w:val="1"/>
    <w:next w:val="1"/>
    <w:link w:val="125"/>
    <w:qFormat/>
    <w:uiPriority w:val="99"/>
    <w:pPr>
      <w:keepNext/>
      <w:pageBreakBefore/>
      <w:numPr>
        <w:ilvl w:val="0"/>
        <w:numId w:val="1"/>
      </w:numPr>
      <w:spacing w:before="178" w:after="178"/>
      <w:ind w:firstLine="0" w:firstLineChars="0"/>
      <w:jc w:val="center"/>
      <w:outlineLvl w:val="0"/>
    </w:pPr>
    <w:rPr>
      <w:rFonts w:eastAsia="黑体"/>
      <w:b/>
      <w:bCs/>
      <w:sz w:val="36"/>
      <w:szCs w:val="36"/>
    </w:rPr>
  </w:style>
  <w:style w:type="paragraph" w:styleId="3">
    <w:name w:val="heading 2"/>
    <w:basedOn w:val="1"/>
    <w:next w:val="1"/>
    <w:link w:val="126"/>
    <w:qFormat/>
    <w:uiPriority w:val="99"/>
    <w:pPr>
      <w:keepNext/>
      <w:numPr>
        <w:ilvl w:val="1"/>
        <w:numId w:val="1"/>
      </w:numPr>
      <w:spacing w:before="100" w:beforeAutospacing="1" w:after="100" w:afterAutospacing="1" w:line="240" w:lineRule="auto"/>
      <w:ind w:firstLine="0" w:firstLineChars="0"/>
      <w:jc w:val="center"/>
      <w:outlineLvl w:val="1"/>
    </w:pPr>
    <w:rPr>
      <w:rFonts w:ascii="Arial" w:hAnsi="Arial" w:eastAsia="黑体" w:cs="Arial"/>
      <w:b/>
      <w:bCs/>
      <w:color w:val="0D0D0D"/>
      <w:sz w:val="36"/>
      <w:szCs w:val="32"/>
    </w:rPr>
  </w:style>
  <w:style w:type="paragraph" w:styleId="4">
    <w:name w:val="heading 3"/>
    <w:basedOn w:val="1"/>
    <w:next w:val="1"/>
    <w:link w:val="127"/>
    <w:qFormat/>
    <w:uiPriority w:val="0"/>
    <w:pPr>
      <w:keepNext/>
      <w:numPr>
        <w:ilvl w:val="0"/>
        <w:numId w:val="2"/>
      </w:numPr>
      <w:snapToGrid w:val="0"/>
      <w:spacing w:before="100" w:after="100"/>
      <w:ind w:firstLine="0" w:firstLineChars="0"/>
      <w:jc w:val="left"/>
      <w:outlineLvl w:val="2"/>
    </w:pPr>
    <w:rPr>
      <w:rFonts w:ascii="楷体" w:eastAsia="楷体" w:cs="宋体"/>
      <w:b/>
      <w:bCs/>
      <w:sz w:val="36"/>
      <w:szCs w:val="30"/>
    </w:rPr>
  </w:style>
  <w:style w:type="paragraph" w:styleId="5">
    <w:name w:val="heading 4"/>
    <w:basedOn w:val="1"/>
    <w:next w:val="1"/>
    <w:link w:val="128"/>
    <w:qFormat/>
    <w:uiPriority w:val="99"/>
    <w:pPr>
      <w:keepNext/>
      <w:numPr>
        <w:ilvl w:val="0"/>
        <w:numId w:val="3"/>
      </w:numPr>
      <w:snapToGrid w:val="0"/>
      <w:ind w:firstLine="0" w:firstLineChars="0"/>
      <w:jc w:val="left"/>
      <w:outlineLvl w:val="3"/>
    </w:pPr>
    <w:rPr>
      <w:rFonts w:ascii="宋体" w:hAnsi="宋体" w:cs="宋体"/>
      <w:b/>
      <w:bCs/>
      <w:szCs w:val="28"/>
    </w:rPr>
  </w:style>
  <w:style w:type="paragraph" w:styleId="6">
    <w:name w:val="heading 5"/>
    <w:basedOn w:val="1"/>
    <w:next w:val="1"/>
    <w:link w:val="129"/>
    <w:qFormat/>
    <w:uiPriority w:val="99"/>
    <w:pPr>
      <w:numPr>
        <w:ilvl w:val="4"/>
        <w:numId w:val="1"/>
      </w:numPr>
      <w:snapToGrid w:val="0"/>
      <w:spacing w:before="178" w:after="178"/>
      <w:ind w:firstLine="0" w:firstLineChars="0"/>
      <w:outlineLvl w:val="4"/>
    </w:pPr>
    <w:rPr>
      <w:rFonts w:eastAsia="黑体"/>
      <w:bCs/>
    </w:rPr>
  </w:style>
  <w:style w:type="paragraph" w:styleId="7">
    <w:name w:val="heading 6"/>
    <w:basedOn w:val="1"/>
    <w:next w:val="1"/>
    <w:link w:val="130"/>
    <w:qFormat/>
    <w:uiPriority w:val="99"/>
    <w:pPr>
      <w:keepLines/>
      <w:numPr>
        <w:ilvl w:val="5"/>
        <w:numId w:val="1"/>
      </w:numPr>
      <w:spacing w:beforeLines="20" w:afterLines="20"/>
      <w:ind w:firstLine="0" w:firstLineChars="0"/>
      <w:jc w:val="left"/>
      <w:outlineLvl w:val="5"/>
    </w:pPr>
    <w:rPr>
      <w:rFonts w:ascii="Arial" w:hAnsi="Arial" w:cs="宋体"/>
      <w:b/>
      <w:bCs/>
    </w:rPr>
  </w:style>
  <w:style w:type="character" w:default="1" w:styleId="28">
    <w:name w:val="Default Paragraph Font"/>
    <w:unhideWhenUsed/>
    <w:qFormat/>
    <w:uiPriority w:val="1"/>
  </w:style>
  <w:style w:type="table" w:default="1" w:styleId="35">
    <w:name w:val="Normal Table"/>
    <w:unhideWhenUsed/>
    <w:qFormat/>
    <w:uiPriority w:val="99"/>
    <w:tblPr>
      <w:tblStyle w:val="35"/>
      <w:tblLayout w:type="fixed"/>
      <w:tblCellMar>
        <w:top w:w="0" w:type="dxa"/>
        <w:left w:w="108" w:type="dxa"/>
        <w:bottom w:w="0" w:type="dxa"/>
        <w:right w:w="108" w:type="dxa"/>
      </w:tblCellMar>
    </w:tblPr>
    <w:tcPr>
      <w:textDirection w:val="lrTb"/>
    </w:tcPr>
  </w:style>
  <w:style w:type="paragraph" w:styleId="8">
    <w:name w:val="annotation subject"/>
    <w:basedOn w:val="9"/>
    <w:next w:val="9"/>
    <w:link w:val="145"/>
    <w:semiHidden/>
    <w:qFormat/>
    <w:uiPriority w:val="99"/>
    <w:rPr>
      <w:b/>
      <w:bCs/>
    </w:rPr>
  </w:style>
  <w:style w:type="paragraph" w:styleId="9">
    <w:name w:val="annotation text"/>
    <w:basedOn w:val="1"/>
    <w:link w:val="144"/>
    <w:semiHidden/>
    <w:qFormat/>
    <w:uiPriority w:val="99"/>
    <w:pPr>
      <w:jc w:val="left"/>
    </w:pPr>
  </w:style>
  <w:style w:type="paragraph" w:styleId="10">
    <w:name w:val="toc 7"/>
    <w:basedOn w:val="1"/>
    <w:next w:val="1"/>
    <w:qFormat/>
    <w:uiPriority w:val="99"/>
    <w:pPr>
      <w:ind w:left="1440"/>
      <w:jc w:val="left"/>
    </w:pPr>
    <w:rPr>
      <w:sz w:val="18"/>
      <w:szCs w:val="18"/>
    </w:rPr>
  </w:style>
  <w:style w:type="paragraph" w:styleId="11">
    <w:name w:val="caption"/>
    <w:basedOn w:val="1"/>
    <w:next w:val="1"/>
    <w:qFormat/>
    <w:uiPriority w:val="99"/>
    <w:rPr>
      <w:rFonts w:ascii="Arial" w:hAnsi="Arial" w:eastAsia="宋体" w:cs="Arial"/>
      <w:sz w:val="20"/>
      <w:szCs w:val="20"/>
    </w:rPr>
  </w:style>
  <w:style w:type="paragraph" w:styleId="12">
    <w:name w:val="Document Map"/>
    <w:basedOn w:val="1"/>
    <w:link w:val="134"/>
    <w:semiHidden/>
    <w:qFormat/>
    <w:uiPriority w:val="99"/>
  </w:style>
  <w:style w:type="paragraph" w:styleId="13">
    <w:name w:val="toc 5"/>
    <w:basedOn w:val="1"/>
    <w:next w:val="1"/>
    <w:qFormat/>
    <w:uiPriority w:val="99"/>
    <w:pPr>
      <w:ind w:left="960"/>
      <w:jc w:val="left"/>
    </w:pPr>
    <w:rPr>
      <w:sz w:val="18"/>
      <w:szCs w:val="18"/>
    </w:rPr>
  </w:style>
  <w:style w:type="paragraph" w:styleId="14">
    <w:name w:val="toc 3"/>
    <w:basedOn w:val="1"/>
    <w:next w:val="1"/>
    <w:qFormat/>
    <w:uiPriority w:val="99"/>
    <w:pPr>
      <w:tabs>
        <w:tab w:val="right" w:leader="dot" w:pos="9070"/>
      </w:tabs>
      <w:spacing w:line="240" w:lineRule="auto"/>
      <w:ind w:left="1280" w:leftChars="400" w:firstLine="0" w:firstLineChars="0"/>
      <w:jc w:val="left"/>
    </w:pPr>
    <w:rPr>
      <w:rFonts w:eastAsia="宋体"/>
      <w:iCs/>
      <w:sz w:val="24"/>
      <w:szCs w:val="21"/>
    </w:rPr>
  </w:style>
  <w:style w:type="paragraph" w:styleId="15">
    <w:name w:val="toc 8"/>
    <w:basedOn w:val="1"/>
    <w:next w:val="1"/>
    <w:qFormat/>
    <w:uiPriority w:val="99"/>
    <w:pPr>
      <w:ind w:left="1680"/>
      <w:jc w:val="left"/>
    </w:pPr>
    <w:rPr>
      <w:sz w:val="18"/>
      <w:szCs w:val="18"/>
    </w:rPr>
  </w:style>
  <w:style w:type="paragraph" w:styleId="16">
    <w:name w:val="endnote text"/>
    <w:basedOn w:val="1"/>
    <w:link w:val="147"/>
    <w:semiHidden/>
    <w:qFormat/>
    <w:uiPriority w:val="99"/>
    <w:pPr>
      <w:snapToGrid w:val="0"/>
      <w:jc w:val="left"/>
    </w:pPr>
  </w:style>
  <w:style w:type="paragraph" w:styleId="17">
    <w:name w:val="Balloon Text"/>
    <w:basedOn w:val="1"/>
    <w:link w:val="136"/>
    <w:semiHidden/>
    <w:qFormat/>
    <w:uiPriority w:val="99"/>
    <w:rPr>
      <w:sz w:val="18"/>
      <w:szCs w:val="18"/>
    </w:rPr>
  </w:style>
  <w:style w:type="paragraph" w:styleId="18">
    <w:name w:val="footer"/>
    <w:basedOn w:val="1"/>
    <w:link w:val="160"/>
    <w:qFormat/>
    <w:uiPriority w:val="99"/>
    <w:pPr>
      <w:tabs>
        <w:tab w:val="center" w:pos="4153"/>
        <w:tab w:val="right" w:pos="8306"/>
      </w:tabs>
      <w:snapToGrid w:val="0"/>
      <w:spacing w:line="240" w:lineRule="atLeast"/>
      <w:jc w:val="left"/>
    </w:pPr>
    <w:rPr>
      <w:sz w:val="18"/>
      <w:szCs w:val="18"/>
    </w:rPr>
  </w:style>
  <w:style w:type="paragraph" w:styleId="19">
    <w:name w:val="header"/>
    <w:basedOn w:val="1"/>
    <w:link w:val="131"/>
    <w:qFormat/>
    <w:uiPriority w:val="99"/>
    <w:pPr>
      <w:pBdr>
        <w:bottom w:val="single" w:color="auto" w:sz="6" w:space="1"/>
      </w:pBdr>
      <w:tabs>
        <w:tab w:val="center" w:pos="4153"/>
        <w:tab w:val="right" w:pos="8306"/>
      </w:tabs>
      <w:snapToGrid w:val="0"/>
      <w:ind w:firstLine="0" w:firstLineChars="0"/>
      <w:jc w:val="center"/>
    </w:pPr>
    <w:rPr>
      <w:rFonts w:ascii="黑体" w:hAnsi="华文仿宋" w:eastAsia="黑体" w:cs="黑体"/>
      <w:b/>
      <w:bCs/>
      <w:sz w:val="18"/>
      <w:szCs w:val="18"/>
    </w:rPr>
  </w:style>
  <w:style w:type="paragraph" w:styleId="20">
    <w:name w:val="toc 1"/>
    <w:basedOn w:val="1"/>
    <w:next w:val="1"/>
    <w:qFormat/>
    <w:uiPriority w:val="99"/>
    <w:pPr>
      <w:keepNext/>
      <w:tabs>
        <w:tab w:val="right" w:pos="284"/>
        <w:tab w:val="right" w:leader="dot" w:pos="8505"/>
      </w:tabs>
      <w:spacing w:beforeLines="50" w:line="240" w:lineRule="auto"/>
      <w:ind w:firstLine="0" w:firstLineChars="0"/>
      <w:jc w:val="right"/>
    </w:pPr>
    <w:rPr>
      <w:rFonts w:eastAsia="黑体"/>
      <w:b/>
      <w:caps/>
      <w:w w:val="0"/>
      <w:kern w:val="0"/>
      <w:sz w:val="28"/>
      <w:szCs w:val="20"/>
    </w:rPr>
  </w:style>
  <w:style w:type="paragraph" w:styleId="21">
    <w:name w:val="toc 4"/>
    <w:basedOn w:val="1"/>
    <w:next w:val="1"/>
    <w:qFormat/>
    <w:uiPriority w:val="99"/>
    <w:pPr>
      <w:tabs>
        <w:tab w:val="right" w:leader="dot" w:pos="9060"/>
      </w:tabs>
      <w:spacing w:line="240" w:lineRule="auto"/>
      <w:ind w:left="1280" w:leftChars="400" w:firstLine="0" w:firstLineChars="0"/>
      <w:jc w:val="left"/>
    </w:pPr>
    <w:rPr>
      <w:rFonts w:eastAsia="宋体"/>
      <w:sz w:val="21"/>
      <w:szCs w:val="21"/>
    </w:rPr>
  </w:style>
  <w:style w:type="paragraph" w:styleId="22">
    <w:name w:val="footnote text"/>
    <w:basedOn w:val="1"/>
    <w:link w:val="132"/>
    <w:semiHidden/>
    <w:qFormat/>
    <w:uiPriority w:val="99"/>
    <w:pPr>
      <w:snapToGrid w:val="0"/>
      <w:jc w:val="left"/>
    </w:pPr>
    <w:rPr>
      <w:sz w:val="18"/>
      <w:szCs w:val="18"/>
    </w:rPr>
  </w:style>
  <w:style w:type="paragraph" w:styleId="23">
    <w:name w:val="toc 6"/>
    <w:basedOn w:val="1"/>
    <w:next w:val="1"/>
    <w:qFormat/>
    <w:uiPriority w:val="99"/>
    <w:pPr>
      <w:ind w:left="1200"/>
      <w:jc w:val="left"/>
    </w:pPr>
    <w:rPr>
      <w:sz w:val="18"/>
      <w:szCs w:val="18"/>
    </w:rPr>
  </w:style>
  <w:style w:type="paragraph" w:styleId="24">
    <w:name w:val="toc 2"/>
    <w:basedOn w:val="1"/>
    <w:next w:val="1"/>
    <w:qFormat/>
    <w:uiPriority w:val="99"/>
    <w:pPr>
      <w:tabs>
        <w:tab w:val="left" w:pos="1440"/>
        <w:tab w:val="right" w:leader="dot" w:pos="9060"/>
      </w:tabs>
      <w:spacing w:line="440" w:lineRule="exact"/>
      <w:ind w:left="960" w:leftChars="300" w:firstLine="0" w:firstLineChars="0"/>
      <w:jc w:val="right"/>
    </w:pPr>
    <w:rPr>
      <w:rFonts w:eastAsia="黑体"/>
      <w:smallCaps/>
      <w:sz w:val="24"/>
      <w:szCs w:val="28"/>
    </w:rPr>
  </w:style>
  <w:style w:type="paragraph" w:styleId="25">
    <w:name w:val="toc 9"/>
    <w:basedOn w:val="1"/>
    <w:next w:val="1"/>
    <w:qFormat/>
    <w:uiPriority w:val="99"/>
    <w:pPr>
      <w:ind w:left="1920"/>
      <w:jc w:val="left"/>
    </w:pPr>
    <w:rPr>
      <w:sz w:val="18"/>
      <w:szCs w:val="18"/>
    </w:rPr>
  </w:style>
  <w:style w:type="paragraph" w:styleId="26">
    <w:name w:val="Normal (Web)"/>
    <w:basedOn w:val="1"/>
    <w:semiHidden/>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styleId="27">
    <w:name w:val="Title"/>
    <w:basedOn w:val="1"/>
    <w:next w:val="1"/>
    <w:link w:val="139"/>
    <w:qFormat/>
    <w:uiPriority w:val="99"/>
    <w:pPr>
      <w:spacing w:before="240" w:after="60"/>
      <w:jc w:val="center"/>
      <w:outlineLvl w:val="0"/>
    </w:pPr>
    <w:rPr>
      <w:rFonts w:ascii="Cambria" w:hAnsi="Cambria"/>
      <w:b/>
      <w:bCs/>
      <w:szCs w:val="32"/>
    </w:rPr>
  </w:style>
  <w:style w:type="character" w:styleId="29">
    <w:name w:val="endnote reference"/>
    <w:semiHidden/>
    <w:qFormat/>
    <w:uiPriority w:val="99"/>
    <w:rPr>
      <w:rFonts w:cs="Times New Roman"/>
      <w:vertAlign w:val="superscript"/>
    </w:rPr>
  </w:style>
  <w:style w:type="character" w:styleId="30">
    <w:name w:val="page number"/>
    <w:qFormat/>
    <w:uiPriority w:val="99"/>
    <w:rPr>
      <w:rFonts w:cs="Times New Roman"/>
    </w:rPr>
  </w:style>
  <w:style w:type="character" w:styleId="31">
    <w:name w:val="FollowedHyperlink"/>
    <w:semiHidden/>
    <w:qFormat/>
    <w:uiPriority w:val="99"/>
    <w:rPr>
      <w:rFonts w:cs="Times New Roman"/>
      <w:color w:val="800080"/>
      <w:u w:val="single"/>
    </w:rPr>
  </w:style>
  <w:style w:type="character" w:styleId="32">
    <w:name w:val="Hyperlink"/>
    <w:qFormat/>
    <w:uiPriority w:val="99"/>
    <w:rPr>
      <w:rFonts w:cs="Times New Roman"/>
      <w:color w:val="0000FF"/>
      <w:u w:val="single"/>
    </w:rPr>
  </w:style>
  <w:style w:type="character" w:styleId="33">
    <w:name w:val="annotation reference"/>
    <w:semiHidden/>
    <w:qFormat/>
    <w:uiPriority w:val="99"/>
    <w:rPr>
      <w:rFonts w:cs="Times New Roman"/>
      <w:sz w:val="21"/>
      <w:szCs w:val="21"/>
    </w:rPr>
  </w:style>
  <w:style w:type="character" w:styleId="34">
    <w:name w:val="footnote reference"/>
    <w:semiHidden/>
    <w:qFormat/>
    <w:uiPriority w:val="99"/>
    <w:rPr>
      <w:rFonts w:cs="Times New Roman"/>
      <w:vertAlign w:val="superscript"/>
    </w:rPr>
  </w:style>
  <w:style w:type="table" w:styleId="36">
    <w:name w:val="Table Grid"/>
    <w:basedOn w:val="35"/>
    <w:qFormat/>
    <w:uiPriority w:val="99"/>
    <w:pPr>
      <w:widowControl w:val="0"/>
      <w:spacing w:beforeLines="50" w:afterLines="50"/>
      <w:ind w:firstLine="200" w:firstLineChars="20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37">
    <w:name w:val="正文 1"/>
    <w:basedOn w:val="1"/>
    <w:link w:val="133"/>
    <w:qFormat/>
    <w:uiPriority w:val="99"/>
    <w:rPr>
      <w:rFonts w:cs="宋体"/>
      <w:szCs w:val="20"/>
    </w:rPr>
  </w:style>
  <w:style w:type="paragraph" w:customStyle="1" w:styleId="38">
    <w:name w:val="大标题"/>
    <w:basedOn w:val="1"/>
    <w:semiHidden/>
    <w:qFormat/>
    <w:uiPriority w:val="99"/>
    <w:pPr>
      <w:ind w:firstLine="0" w:firstLineChars="0"/>
    </w:pPr>
  </w:style>
  <w:style w:type="paragraph" w:customStyle="1" w:styleId="39">
    <w:name w:val="图表标题"/>
    <w:basedOn w:val="1"/>
    <w:link w:val="135"/>
    <w:qFormat/>
    <w:uiPriority w:val="99"/>
    <w:pPr>
      <w:spacing w:beforeLines="25" w:afterLines="25"/>
      <w:ind w:firstLine="0" w:firstLineChars="0"/>
      <w:jc w:val="center"/>
    </w:pPr>
    <w:rPr>
      <w:rFonts w:eastAsia="黑体"/>
      <w:b/>
      <w:sz w:val="21"/>
      <w:szCs w:val="20"/>
    </w:rPr>
  </w:style>
  <w:style w:type="paragraph" w:customStyle="1" w:styleId="40">
    <w:name w:val="[基本段落]"/>
    <w:basedOn w:val="41"/>
    <w:qFormat/>
    <w:uiPriority w:val="99"/>
  </w:style>
  <w:style w:type="paragraph" w:customStyle="1" w:styleId="41">
    <w:name w:val="[无段落样式]"/>
    <w:qFormat/>
    <w:uiPriority w:val="99"/>
    <w:pPr>
      <w:widowControl w:val="0"/>
      <w:autoSpaceDE w:val="0"/>
      <w:autoSpaceDN w:val="0"/>
      <w:adjustRightInd w:val="0"/>
      <w:spacing w:line="288" w:lineRule="auto"/>
      <w:jc w:val="both"/>
      <w:textAlignment w:val="center"/>
    </w:pPr>
    <w:rPr>
      <w:rFonts w:ascii="宋体" w:hAnsi="Times New Roman" w:eastAsia="宋体" w:cs="宋体"/>
      <w:color w:val="000000"/>
      <w:sz w:val="24"/>
      <w:szCs w:val="24"/>
      <w:lang w:val="zh-CN" w:eastAsia="zh-CN" w:bidi="ar-SA"/>
    </w:rPr>
  </w:style>
  <w:style w:type="paragraph" w:customStyle="1" w:styleId="42">
    <w:name w:val="正文-海岛版"/>
    <w:basedOn w:val="1"/>
    <w:qFormat/>
    <w:uiPriority w:val="99"/>
    <w:pPr>
      <w:ind w:firstLine="640"/>
    </w:pPr>
    <w:rPr>
      <w:rFonts w:cs="宋体"/>
      <w:szCs w:val="20"/>
    </w:rPr>
  </w:style>
  <w:style w:type="paragraph" w:customStyle="1" w:styleId="43">
    <w:name w:val="样式 表内文字 + 段前: 15.9 磅 段后: 15.9 磅"/>
    <w:basedOn w:val="44"/>
    <w:qFormat/>
    <w:uiPriority w:val="99"/>
    <w:pPr>
      <w:spacing w:before="240" w:after="240"/>
    </w:pPr>
  </w:style>
  <w:style w:type="paragraph" w:customStyle="1" w:styleId="44">
    <w:name w:val="表内文字"/>
    <w:basedOn w:val="1"/>
    <w:link w:val="153"/>
    <w:qFormat/>
    <w:uiPriority w:val="99"/>
    <w:pPr>
      <w:adjustRightInd w:val="0"/>
      <w:snapToGrid w:val="0"/>
      <w:spacing w:line="240" w:lineRule="auto"/>
      <w:ind w:firstLine="0" w:firstLineChars="0"/>
    </w:pPr>
    <w:rPr>
      <w:rFonts w:eastAsia="宋体" w:cs="宋体"/>
      <w:sz w:val="21"/>
      <w:szCs w:val="20"/>
    </w:rPr>
  </w:style>
  <w:style w:type="paragraph" w:customStyle="1" w:styleId="45">
    <w:name w:val="图表名称"/>
    <w:basedOn w:val="1"/>
    <w:link w:val="137"/>
    <w:qFormat/>
    <w:uiPriority w:val="99"/>
    <w:pPr>
      <w:spacing w:before="174" w:after="174"/>
      <w:ind w:firstLine="0" w:firstLineChars="0"/>
      <w:jc w:val="center"/>
    </w:pPr>
    <w:rPr>
      <w:rFonts w:ascii="黑体" w:hAnsi="Arial" w:eastAsia="黑体" w:cs="黑体"/>
      <w:b/>
      <w:bCs/>
      <w:sz w:val="21"/>
      <w:szCs w:val="21"/>
    </w:rPr>
  </w:style>
  <w:style w:type="paragraph" w:customStyle="1" w:styleId="46">
    <w:name w:val="样式1"/>
    <w:basedOn w:val="7"/>
    <w:link w:val="138"/>
    <w:qFormat/>
    <w:uiPriority w:val="99"/>
    <w:pPr>
      <w:tabs>
        <w:tab w:val="left" w:pos="680"/>
      </w:tabs>
      <w:spacing w:before="20" w:after="20"/>
      <w:ind w:left="681" w:hanging="227"/>
      <w:jc w:val="both"/>
    </w:pPr>
    <w:rPr>
      <w:rFonts w:ascii="Times New Roman" w:hAnsi="Times New Roman"/>
      <w:b w:val="0"/>
    </w:rPr>
  </w:style>
  <w:style w:type="paragraph" w:customStyle="1" w:styleId="47">
    <w:name w:val="脚注-海岛"/>
    <w:basedOn w:val="22"/>
    <w:qFormat/>
    <w:uiPriority w:val="99"/>
    <w:pPr>
      <w:spacing w:line="200" w:lineRule="exact"/>
      <w:ind w:firstLine="0" w:firstLineChars="0"/>
    </w:pPr>
  </w:style>
  <w:style w:type="paragraph" w:customStyle="1" w:styleId="48">
    <w:name w:val="样式 表内文字-海岛版 + 段前: 6 磅 段后: 6 磅2"/>
    <w:basedOn w:val="49"/>
    <w:qFormat/>
    <w:uiPriority w:val="99"/>
  </w:style>
  <w:style w:type="paragraph" w:customStyle="1" w:styleId="49">
    <w:name w:val="！！表内文字-海岛版-小四"/>
    <w:basedOn w:val="50"/>
    <w:link w:val="155"/>
    <w:qFormat/>
    <w:uiPriority w:val="99"/>
    <w:pPr>
      <w:spacing w:line="280" w:lineRule="exact"/>
    </w:pPr>
  </w:style>
  <w:style w:type="paragraph" w:customStyle="1" w:styleId="50">
    <w:name w:val="样式 样式 表内文字 + 段前: 15.9 磅 段后: 15.9 磅3 + 段前: 15.9 磅 段后: 15.9 磅1"/>
    <w:basedOn w:val="44"/>
    <w:link w:val="154"/>
    <w:qFormat/>
    <w:uiPriority w:val="99"/>
  </w:style>
  <w:style w:type="paragraph" w:customStyle="1" w:styleId="51">
    <w:name w:val="规划文本名称"/>
    <w:basedOn w:val="1"/>
    <w:qFormat/>
    <w:uiPriority w:val="99"/>
    <w:pPr>
      <w:spacing w:line="240" w:lineRule="auto"/>
      <w:ind w:firstLine="0" w:firstLineChars="0"/>
      <w:jc w:val="center"/>
    </w:pPr>
    <w:rPr>
      <w:rFonts w:ascii="华文中宋" w:hAnsi="华文中宋" w:eastAsia="华文中宋" w:cs="宋体"/>
      <w:b/>
      <w:bCs/>
      <w:kern w:val="0"/>
      <w:sz w:val="44"/>
      <w:szCs w:val="20"/>
    </w:rPr>
  </w:style>
  <w:style w:type="paragraph" w:customStyle="1" w:styleId="52">
    <w:name w:val="解释性文字"/>
    <w:basedOn w:val="37"/>
    <w:qFormat/>
    <w:uiPriority w:val="99"/>
    <w:pPr>
      <w:spacing w:line="168" w:lineRule="auto"/>
    </w:pPr>
    <w:rPr>
      <w:rFonts w:ascii="方正楷体简体" w:eastAsia="楷体"/>
    </w:rPr>
  </w:style>
  <w:style w:type="paragraph" w:customStyle="1" w:styleId="53">
    <w:name w:val="样式 解释性文字 + 首行缩进:  2 字符"/>
    <w:basedOn w:val="52"/>
    <w:qFormat/>
    <w:uiPriority w:val="99"/>
  </w:style>
  <w:style w:type="paragraph" w:customStyle="1" w:styleId="54">
    <w:name w:val="样式 解释性文字 + Simsun 黑色 图案: 清除 (白色)"/>
    <w:basedOn w:val="52"/>
    <w:qFormat/>
    <w:uiPriority w:val="99"/>
    <w:pPr>
      <w:spacing w:line="300" w:lineRule="exact"/>
    </w:pPr>
    <w:rPr>
      <w:rFonts w:ascii="宋体" w:hAnsi="宋体"/>
      <w:color w:val="000000"/>
      <w:shd w:val="clear" w:color="auto" w:fill="FFFFFF"/>
    </w:rPr>
  </w:style>
  <w:style w:type="paragraph" w:customStyle="1" w:styleId="55">
    <w:name w:val="样式 样式 解释性文字 + Simsun 黑色 图案: 清除 (白色) + 首行缩进:  2 字符"/>
    <w:basedOn w:val="54"/>
    <w:qFormat/>
    <w:uiPriority w:val="99"/>
    <w:pPr>
      <w:spacing w:line="280" w:lineRule="exact"/>
    </w:pPr>
  </w:style>
  <w:style w:type="paragraph" w:customStyle="1" w:styleId="56">
    <w:name w:val="样式 样式 解释性文字 + Simsun 黑色 图案: 清除 (白色) + 首行缩进:  2 字符1"/>
    <w:basedOn w:val="54"/>
    <w:qFormat/>
    <w:uiPriority w:val="99"/>
  </w:style>
  <w:style w:type="paragraph" w:customStyle="1" w:styleId="57">
    <w:name w:val="样式 标题 2标题 2 Char Char Char Char标题 2 Char Char1 Charchapter 2..."/>
    <w:basedOn w:val="3"/>
    <w:qFormat/>
    <w:uiPriority w:val="99"/>
    <w:pPr>
      <w:jc w:val="left"/>
    </w:pPr>
    <w:rPr>
      <w:rFonts w:cs="宋体"/>
      <w:szCs w:val="20"/>
    </w:rPr>
  </w:style>
  <w:style w:type="paragraph" w:customStyle="1" w:styleId="58">
    <w:name w:val="样式 标题 4chapter 4Heading 4 Char Char Char + 红色"/>
    <w:basedOn w:val="5"/>
    <w:qFormat/>
    <w:uiPriority w:val="99"/>
    <w:pPr>
      <w:numPr>
        <w:ilvl w:val="0"/>
        <w:numId w:val="4"/>
      </w:numPr>
    </w:pPr>
    <w:rPr>
      <w:color w:val="FF0000"/>
    </w:rPr>
  </w:style>
  <w:style w:type="paragraph" w:customStyle="1" w:styleId="59">
    <w:name w:val="样式3"/>
    <w:basedOn w:val="37"/>
    <w:qFormat/>
    <w:uiPriority w:val="99"/>
    <w:pPr>
      <w:numPr>
        <w:ilvl w:val="0"/>
        <w:numId w:val="5"/>
      </w:numPr>
      <w:ind w:firstLine="0" w:firstLineChars="0"/>
    </w:pPr>
    <w:rPr>
      <w:b/>
    </w:rPr>
  </w:style>
  <w:style w:type="paragraph" w:customStyle="1" w:styleId="60">
    <w:name w:val="小标题"/>
    <w:basedOn w:val="59"/>
    <w:qFormat/>
    <w:uiPriority w:val="99"/>
    <w:rPr>
      <w:b w:val="0"/>
    </w:rPr>
  </w:style>
  <w:style w:type="paragraph" w:customStyle="1" w:styleId="61">
    <w:name w:val="样式 标题 3标题 3 Char Char Charchapter 3style3 + 段前: 0 磅 段后: 0 磅..."/>
    <w:basedOn w:val="4"/>
    <w:qFormat/>
    <w:uiPriority w:val="99"/>
    <w:pPr>
      <w:numPr>
        <w:ilvl w:val="0"/>
        <w:numId w:val="0"/>
      </w:numPr>
      <w:spacing w:beforeAutospacing="1" w:afterAutospacing="1" w:line="240" w:lineRule="auto"/>
    </w:pPr>
    <w:rPr>
      <w:szCs w:val="20"/>
    </w:rPr>
  </w:style>
  <w:style w:type="paragraph" w:customStyle="1" w:styleId="62">
    <w:name w:val="修订1"/>
    <w:hidden/>
    <w:semiHidden/>
    <w:qFormat/>
    <w:uiPriority w:val="99"/>
    <w:rPr>
      <w:rFonts w:ascii="Times New Roman" w:hAnsi="Times New Roman" w:eastAsia="仿宋" w:cs="Times New Roman"/>
      <w:kern w:val="2"/>
      <w:sz w:val="32"/>
      <w:szCs w:val="24"/>
      <w:lang w:val="en-US" w:eastAsia="zh-CN" w:bidi="ar-SA"/>
    </w:rPr>
  </w:style>
  <w:style w:type="paragraph" w:customStyle="1" w:styleId="63">
    <w:name w:val="TOC 标题1"/>
    <w:basedOn w:val="2"/>
    <w:next w:val="1"/>
    <w:qFormat/>
    <w:uiPriority w:val="99"/>
    <w:pPr>
      <w:keepLines/>
      <w:widowControl/>
      <w:numPr>
        <w:ilvl w:val="0"/>
        <w:numId w:val="0"/>
      </w:numPr>
      <w:spacing w:before="240" w:after="0" w:line="259" w:lineRule="auto"/>
      <w:jc w:val="left"/>
      <w:outlineLvl w:val="9"/>
    </w:pPr>
    <w:rPr>
      <w:rFonts w:ascii="Cambria" w:hAnsi="Cambria" w:eastAsia="宋体"/>
      <w:b w:val="0"/>
      <w:bCs w:val="0"/>
      <w:color w:val="365F91"/>
      <w:kern w:val="0"/>
      <w:sz w:val="32"/>
      <w:szCs w:val="32"/>
    </w:rPr>
  </w:style>
  <w:style w:type="paragraph" w:customStyle="1" w:styleId="64">
    <w:name w:val="样式 首行缩进:  2 字符"/>
    <w:basedOn w:val="1"/>
    <w:qFormat/>
    <w:uiPriority w:val="99"/>
    <w:pPr>
      <w:spacing w:line="480" w:lineRule="exact"/>
    </w:pPr>
    <w:rPr>
      <w:rFonts w:cs="宋体"/>
      <w:szCs w:val="20"/>
    </w:rPr>
  </w:style>
  <w:style w:type="paragraph" w:customStyle="1" w:styleId="65">
    <w:name w:val="样式 样式 首行缩进:  2 字符 + 首行缩进:  2 字符"/>
    <w:basedOn w:val="64"/>
    <w:qFormat/>
    <w:uiPriority w:val="99"/>
    <w:pPr>
      <w:spacing w:line="540" w:lineRule="exact"/>
    </w:pPr>
  </w:style>
  <w:style w:type="paragraph" w:customStyle="1" w:styleId="66">
    <w:name w:val="样式 样式 样式 首行缩进:  2 字符 + 首行缩进:  2 字符 + 首行缩进:  2 字符"/>
    <w:basedOn w:val="65"/>
    <w:qFormat/>
    <w:uiPriority w:val="99"/>
    <w:pPr>
      <w:spacing w:line="560" w:lineRule="exact"/>
    </w:pPr>
  </w:style>
  <w:style w:type="paragraph" w:customStyle="1" w:styleId="67">
    <w:name w:val="样式 表内文字 + 段前: 15.9 磅 段后: 15.9 磅2"/>
    <w:basedOn w:val="44"/>
    <w:qFormat/>
    <w:uiPriority w:val="99"/>
  </w:style>
  <w:style w:type="paragraph" w:customStyle="1" w:styleId="68">
    <w:name w:val="样式 表内文字 + 段前: 15.9 磅 段后: 15.9 磅3"/>
    <w:basedOn w:val="44"/>
    <w:qFormat/>
    <w:uiPriority w:val="99"/>
    <w:pPr>
      <w:spacing w:line="240" w:lineRule="atLeast"/>
    </w:pPr>
  </w:style>
  <w:style w:type="paragraph" w:customStyle="1" w:styleId="69">
    <w:name w:val="样式 样式 表内文字 + 段前: 15.9 磅 段后: 15.9 磅3 + 段前: 15.9 磅 段后: 15.9 磅"/>
    <w:basedOn w:val="68"/>
    <w:qFormat/>
    <w:uiPriority w:val="99"/>
    <w:pPr>
      <w:adjustRightInd/>
      <w:snapToGrid/>
    </w:pPr>
  </w:style>
  <w:style w:type="paragraph" w:customStyle="1" w:styleId="70">
    <w:name w:val="表头字体 -海岛版"/>
    <w:basedOn w:val="1"/>
    <w:link w:val="157"/>
    <w:qFormat/>
    <w:uiPriority w:val="99"/>
    <w:pPr>
      <w:spacing w:before="120" w:after="120" w:line="420" w:lineRule="exact"/>
      <w:ind w:firstLine="0" w:firstLineChars="0"/>
      <w:jc w:val="center"/>
    </w:pPr>
    <w:rPr>
      <w:rFonts w:ascii="仿宋" w:hAnsi="仿宋" w:eastAsia="宋体" w:cs="宋体"/>
      <w:b/>
      <w:bCs/>
      <w:sz w:val="24"/>
      <w:szCs w:val="20"/>
    </w:rPr>
  </w:style>
  <w:style w:type="paragraph" w:customStyle="1" w:styleId="71">
    <w:name w:val="样式 表内文字-海岛版 + 居中 段前: 6 磅 段后: 6 磅"/>
    <w:basedOn w:val="49"/>
    <w:qFormat/>
    <w:uiPriority w:val="99"/>
    <w:pPr>
      <w:jc w:val="center"/>
    </w:pPr>
  </w:style>
  <w:style w:type="paragraph" w:customStyle="1" w:styleId="72">
    <w:name w:val="样式 样式 表内文字-海岛版 + 居中 段前: 6 磅 段后: 6 磅 + 段前: 6 磅 段后: 6 磅"/>
    <w:basedOn w:val="71"/>
    <w:qFormat/>
    <w:uiPriority w:val="99"/>
    <w:pPr>
      <w:spacing w:line="200" w:lineRule="exact"/>
    </w:pPr>
  </w:style>
  <w:style w:type="paragraph" w:customStyle="1" w:styleId="73">
    <w:name w:val="样式 表内文字-海岛版 + 段前: 6 磅 段后: 6 磅"/>
    <w:basedOn w:val="49"/>
    <w:qFormat/>
    <w:uiPriority w:val="99"/>
    <w:pPr>
      <w:spacing w:line="240" w:lineRule="exact"/>
    </w:pPr>
  </w:style>
  <w:style w:type="paragraph" w:customStyle="1" w:styleId="74">
    <w:name w:val="样式 表内文字-海岛版 + 段前: 6 磅 段后: 6 磅1"/>
    <w:basedOn w:val="49"/>
    <w:qFormat/>
    <w:uiPriority w:val="99"/>
  </w:style>
  <w:style w:type="paragraph" w:customStyle="1" w:styleId="75">
    <w:name w:val="oa1"/>
    <w:basedOn w:val="1"/>
    <w:qFormat/>
    <w:uiPriority w:val="99"/>
    <w:pPr>
      <w:widowControl/>
      <w:pBdr>
        <w:top w:val="single" w:color="FFFFFF" w:sz="8" w:space="1"/>
        <w:left w:val="single" w:color="FFFFFF" w:sz="8" w:space="1"/>
        <w:bottom w:val="single" w:color="FFFFFF" w:sz="8" w:space="0"/>
        <w:right w:val="single" w:color="FFFFFF" w:sz="8" w:space="1"/>
      </w:pBdr>
      <w:shd w:val="clear" w:color="auto" w:fill="E9EDF4"/>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76">
    <w:name w:val="oa2"/>
    <w:basedOn w:val="1"/>
    <w:qFormat/>
    <w:uiPriority w:val="99"/>
    <w:pPr>
      <w:widowControl/>
      <w:spacing w:before="100" w:beforeAutospacing="1" w:after="100" w:afterAutospacing="1" w:line="240" w:lineRule="auto"/>
      <w:ind w:firstLine="0" w:firstLineChars="0"/>
      <w:jc w:val="left"/>
      <w:textAlignment w:val="top"/>
    </w:pPr>
    <w:rPr>
      <w:rFonts w:ascii="宋体" w:hAnsi="宋体" w:eastAsia="宋体" w:cs="宋体"/>
      <w:kern w:val="0"/>
      <w:sz w:val="24"/>
    </w:rPr>
  </w:style>
  <w:style w:type="paragraph" w:customStyle="1" w:styleId="77">
    <w:name w:val="oa3"/>
    <w:basedOn w:val="1"/>
    <w:qFormat/>
    <w:uiPriority w:val="99"/>
    <w:pPr>
      <w:widowControl/>
      <w:pBdr>
        <w:top w:val="single" w:color="FFFFFF" w:sz="8" w:space="1"/>
        <w:left w:val="single" w:color="FFFFFF" w:sz="8" w:space="1"/>
        <w:bottom w:val="single" w:color="FFFFFF" w:sz="8" w:space="0"/>
        <w:right w:val="single" w:color="FFFFFF" w:sz="8" w:space="1"/>
      </w:pBdr>
      <w:shd w:val="clear" w:color="auto" w:fill="E9EDF4"/>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78">
    <w:name w:val="font5"/>
    <w:basedOn w:val="1"/>
    <w:qFormat/>
    <w:uiPriority w:val="99"/>
    <w:pPr>
      <w:widowControl/>
      <w:spacing w:before="100" w:beforeAutospacing="1" w:after="100" w:afterAutospacing="1" w:line="240" w:lineRule="auto"/>
      <w:ind w:firstLine="0" w:firstLineChars="0"/>
      <w:jc w:val="left"/>
    </w:pPr>
    <w:rPr>
      <w:rFonts w:ascii="Arial" w:hAnsi="Arial" w:eastAsia="宋体" w:cs="Arial"/>
      <w:color w:val="000000"/>
      <w:kern w:val="0"/>
      <w:sz w:val="16"/>
      <w:szCs w:val="16"/>
    </w:rPr>
  </w:style>
  <w:style w:type="paragraph" w:customStyle="1" w:styleId="79">
    <w:name w:val="xl65"/>
    <w:basedOn w:val="1"/>
    <w:qFormat/>
    <w:uiPriority w:val="99"/>
    <w:pPr>
      <w:widowControl/>
      <w:pBdr>
        <w:top w:val="single" w:color="FFFFFF" w:sz="8" w:space="0"/>
        <w:left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center"/>
      <w:textAlignment w:val="center"/>
    </w:pPr>
    <w:rPr>
      <w:rFonts w:ascii="Arial" w:hAnsi="Arial" w:eastAsia="宋体" w:cs="Arial"/>
      <w:kern w:val="0"/>
      <w:sz w:val="36"/>
      <w:szCs w:val="36"/>
    </w:rPr>
  </w:style>
  <w:style w:type="paragraph" w:customStyle="1" w:styleId="80">
    <w:name w:val="xl66"/>
    <w:basedOn w:val="1"/>
    <w:qFormat/>
    <w:uiPriority w:val="99"/>
    <w:pPr>
      <w:widowControl/>
      <w:pBdr>
        <w:top w:val="single" w:color="FFFFFF" w:sz="8" w:space="0"/>
        <w:left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center"/>
      <w:textAlignment w:val="center"/>
    </w:pPr>
    <w:rPr>
      <w:rFonts w:ascii="Arial" w:hAnsi="Arial" w:eastAsia="宋体" w:cs="Arial"/>
      <w:color w:val="000000"/>
      <w:kern w:val="0"/>
      <w:sz w:val="16"/>
      <w:szCs w:val="16"/>
    </w:rPr>
  </w:style>
  <w:style w:type="paragraph" w:customStyle="1" w:styleId="81">
    <w:name w:val="xl67"/>
    <w:basedOn w:val="1"/>
    <w:qFormat/>
    <w:uiPriority w:val="99"/>
    <w:pPr>
      <w:widowControl/>
      <w:pBdr>
        <w:top w:val="single" w:color="FFFFFF" w:sz="8" w:space="0"/>
        <w:left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center"/>
      <w:textAlignment w:val="center"/>
    </w:pPr>
    <w:rPr>
      <w:rFonts w:ascii="Franklin Gothic Book" w:hAnsi="Franklin Gothic Book" w:eastAsia="宋体" w:cs="宋体"/>
      <w:color w:val="000000"/>
      <w:kern w:val="0"/>
      <w:sz w:val="16"/>
      <w:szCs w:val="16"/>
    </w:rPr>
  </w:style>
  <w:style w:type="paragraph" w:customStyle="1" w:styleId="82">
    <w:name w:val="xl68"/>
    <w:basedOn w:val="1"/>
    <w:qFormat/>
    <w:uiPriority w:val="99"/>
    <w:pPr>
      <w:widowControl/>
      <w:pBdr>
        <w:top w:val="single" w:color="FFFFFF" w:sz="8" w:space="0"/>
        <w:left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center"/>
    </w:pPr>
    <w:rPr>
      <w:rFonts w:ascii="Arial" w:hAnsi="Arial" w:eastAsia="宋体" w:cs="Arial"/>
      <w:color w:val="000000"/>
      <w:kern w:val="0"/>
      <w:sz w:val="16"/>
      <w:szCs w:val="16"/>
    </w:rPr>
  </w:style>
  <w:style w:type="paragraph" w:customStyle="1" w:styleId="83">
    <w:name w:val="xl69"/>
    <w:basedOn w:val="1"/>
    <w:qFormat/>
    <w:uiPriority w:val="99"/>
    <w:pPr>
      <w:widowControl/>
      <w:pBdr>
        <w:top w:val="single" w:color="FFFFFF" w:sz="8" w:space="0"/>
        <w:left w:val="single" w:color="FFFFFF" w:sz="8" w:space="0"/>
        <w:bottom w:val="single" w:color="FFFFFF" w:sz="8" w:space="0"/>
      </w:pBdr>
      <w:shd w:val="clear" w:color="000000" w:fill="E9EDF4"/>
      <w:spacing w:before="100" w:beforeAutospacing="1" w:after="100" w:afterAutospacing="1" w:line="240" w:lineRule="auto"/>
      <w:ind w:firstLine="0" w:firstLineChars="0"/>
      <w:jc w:val="center"/>
      <w:textAlignment w:val="center"/>
    </w:pPr>
    <w:rPr>
      <w:rFonts w:ascii="Franklin Gothic Book" w:hAnsi="Franklin Gothic Book" w:eastAsia="宋体" w:cs="宋体"/>
      <w:color w:val="000000"/>
      <w:kern w:val="0"/>
      <w:sz w:val="16"/>
      <w:szCs w:val="16"/>
    </w:rPr>
  </w:style>
  <w:style w:type="paragraph" w:customStyle="1" w:styleId="84">
    <w:name w:val="xl70"/>
    <w:basedOn w:val="1"/>
    <w:qFormat/>
    <w:uiPriority w:val="99"/>
    <w:pPr>
      <w:widowControl/>
      <w:pBdr>
        <w:top w:val="single" w:color="FFFFFF" w:sz="8" w:space="0"/>
        <w:bottom w:val="single" w:color="FFFFFF" w:sz="8" w:space="0"/>
      </w:pBdr>
      <w:shd w:val="clear" w:color="000000" w:fill="E9EDF4"/>
      <w:spacing w:before="100" w:beforeAutospacing="1" w:after="100" w:afterAutospacing="1" w:line="240" w:lineRule="auto"/>
      <w:ind w:firstLine="0" w:firstLineChars="0"/>
      <w:jc w:val="center"/>
      <w:textAlignment w:val="center"/>
    </w:pPr>
    <w:rPr>
      <w:rFonts w:ascii="Franklin Gothic Book" w:hAnsi="Franklin Gothic Book" w:eastAsia="宋体" w:cs="宋体"/>
      <w:color w:val="000000"/>
      <w:kern w:val="0"/>
      <w:sz w:val="16"/>
      <w:szCs w:val="16"/>
    </w:rPr>
  </w:style>
  <w:style w:type="paragraph" w:customStyle="1" w:styleId="85">
    <w:name w:val="xl71"/>
    <w:basedOn w:val="1"/>
    <w:qFormat/>
    <w:uiPriority w:val="99"/>
    <w:pPr>
      <w:widowControl/>
      <w:pBdr>
        <w:top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center"/>
      <w:textAlignment w:val="center"/>
    </w:pPr>
    <w:rPr>
      <w:rFonts w:ascii="Franklin Gothic Book" w:hAnsi="Franklin Gothic Book" w:eastAsia="宋体" w:cs="宋体"/>
      <w:color w:val="000000"/>
      <w:kern w:val="0"/>
      <w:sz w:val="16"/>
      <w:szCs w:val="16"/>
    </w:rPr>
  </w:style>
  <w:style w:type="paragraph" w:customStyle="1" w:styleId="86">
    <w:name w:val="xl72"/>
    <w:basedOn w:val="1"/>
    <w:qFormat/>
    <w:uiPriority w:val="99"/>
    <w:pPr>
      <w:widowControl/>
      <w:pBdr>
        <w:top w:val="single" w:color="FFFFFF" w:sz="8" w:space="0"/>
        <w:left w:val="single" w:color="FFFFFF" w:sz="8" w:space="0"/>
        <w:bottom w:val="single" w:color="FFFFFF" w:sz="8" w:space="0"/>
        <w:right w:val="single" w:color="FFFFFF" w:sz="8" w:space="0"/>
      </w:pBdr>
      <w:shd w:val="clear" w:color="000000" w:fill="E9EDF4"/>
      <w:spacing w:before="100" w:beforeAutospacing="1" w:after="100" w:afterAutospacing="1" w:line="240" w:lineRule="auto"/>
      <w:ind w:firstLine="0" w:firstLineChars="0"/>
      <w:jc w:val="right"/>
    </w:pPr>
    <w:rPr>
      <w:rFonts w:ascii="Franklin Gothic Book" w:hAnsi="Franklin Gothic Book" w:eastAsia="宋体" w:cs="宋体"/>
      <w:color w:val="000000"/>
      <w:kern w:val="0"/>
      <w:sz w:val="12"/>
      <w:szCs w:val="12"/>
    </w:rPr>
  </w:style>
  <w:style w:type="paragraph" w:customStyle="1" w:styleId="87">
    <w:name w:val="列出段落1"/>
    <w:basedOn w:val="1"/>
    <w:qFormat/>
    <w:uiPriority w:val="99"/>
    <w:pPr>
      <w:ind w:firstLine="420"/>
    </w:pPr>
  </w:style>
  <w:style w:type="paragraph" w:customStyle="1" w:styleId="88">
    <w:name w:val="样式 标题 2标题 2 Char Char Char Char标题 2 Char Char1 Charchapter 2...1"/>
    <w:basedOn w:val="3"/>
    <w:link w:val="151"/>
    <w:qFormat/>
    <w:uiPriority w:val="99"/>
    <w:pPr>
      <w:pageBreakBefore/>
      <w:numPr>
        <w:ilvl w:val="0"/>
        <w:numId w:val="6"/>
      </w:numPr>
      <w:spacing w:before="240" w:beforeAutospacing="0" w:after="120" w:afterAutospacing="0"/>
      <w:jc w:val="left"/>
    </w:pPr>
    <w:rPr>
      <w:color w:val="auto"/>
    </w:rPr>
  </w:style>
  <w:style w:type="paragraph" w:customStyle="1" w:styleId="89">
    <w:name w:val="样式 标题 4chapter 4Heading 4 Char Char Char + 非加粗"/>
    <w:basedOn w:val="5"/>
    <w:link w:val="148"/>
    <w:qFormat/>
    <w:uiPriority w:val="99"/>
    <w:pPr>
      <w:numPr>
        <w:ilvl w:val="0"/>
        <w:numId w:val="7"/>
      </w:numPr>
    </w:pPr>
    <w:rPr>
      <w:bCs w:val="0"/>
    </w:rPr>
  </w:style>
  <w:style w:type="paragraph" w:customStyle="1" w:styleId="90">
    <w:name w:val="样式 标题 4chapter 4Heading 4 Char Char Char + 非加粗1"/>
    <w:basedOn w:val="5"/>
    <w:qFormat/>
    <w:uiPriority w:val="99"/>
    <w:rPr>
      <w:bCs w:val="0"/>
    </w:rPr>
  </w:style>
  <w:style w:type="paragraph" w:customStyle="1" w:styleId="91">
    <w:name w:val="样式4"/>
    <w:link w:val="149"/>
    <w:qFormat/>
    <w:uiPriority w:val="0"/>
    <w:pPr>
      <w:adjustRightInd w:val="0"/>
      <w:spacing w:line="640" w:lineRule="exact"/>
    </w:pPr>
    <w:rPr>
      <w:rFonts w:ascii="宋体" w:hAnsi="宋体" w:eastAsia="仿宋" w:cs="宋体"/>
      <w:b/>
      <w:kern w:val="2"/>
      <w:sz w:val="32"/>
      <w:szCs w:val="28"/>
      <w:lang w:val="en-US" w:eastAsia="zh-CN" w:bidi="ar-SA"/>
    </w:rPr>
  </w:style>
  <w:style w:type="paragraph" w:customStyle="1" w:styleId="92">
    <w:name w:val="样式5-表格注释-海岛版"/>
    <w:basedOn w:val="1"/>
    <w:link w:val="150"/>
    <w:qFormat/>
    <w:uiPriority w:val="99"/>
    <w:pPr>
      <w:ind w:firstLine="480"/>
    </w:pPr>
    <w:rPr>
      <w:sz w:val="24"/>
    </w:rPr>
  </w:style>
  <w:style w:type="paragraph" w:customStyle="1" w:styleId="93">
    <w:name w:val="附表标题样式-海岛版"/>
    <w:basedOn w:val="88"/>
    <w:link w:val="152"/>
    <w:qFormat/>
    <w:uiPriority w:val="99"/>
    <w:pPr>
      <w:numPr>
        <w:ilvl w:val="0"/>
        <w:numId w:val="0"/>
      </w:numPr>
      <w:spacing w:before="600" w:after="360"/>
      <w:ind w:left="1213"/>
    </w:pPr>
    <w:rPr>
      <w:rFonts w:eastAsia="宋体"/>
    </w:rPr>
  </w:style>
  <w:style w:type="paragraph" w:customStyle="1" w:styleId="94">
    <w:name w:val="样式 表内文字-海岛版 + (西文) 仿宋_GB2312 小四 段前: 6 磅 段后: 6 磅"/>
    <w:basedOn w:val="49"/>
    <w:qFormat/>
    <w:uiPriority w:val="99"/>
    <w:pPr>
      <w:spacing w:before="120" w:after="120"/>
    </w:pPr>
    <w:rPr>
      <w:rFonts w:ascii="仿宋_GB2312" w:hAnsi="仿宋_GB2312"/>
      <w:sz w:val="24"/>
    </w:rPr>
  </w:style>
  <w:style w:type="paragraph" w:customStyle="1" w:styleId="95">
    <w:name w:val="表内文字海岛版-小四"/>
    <w:basedOn w:val="49"/>
    <w:link w:val="156"/>
    <w:qFormat/>
    <w:uiPriority w:val="99"/>
    <w:pPr>
      <w:spacing w:before="120" w:after="120"/>
    </w:pPr>
    <w:rPr>
      <w:sz w:val="24"/>
    </w:rPr>
  </w:style>
  <w:style w:type="paragraph" w:customStyle="1" w:styleId="96">
    <w:name w:val="表格及图片标题名称字体"/>
    <w:basedOn w:val="70"/>
    <w:link w:val="158"/>
    <w:qFormat/>
    <w:uiPriority w:val="99"/>
    <w:pPr>
      <w:spacing w:before="0" w:after="0" w:line="240" w:lineRule="auto"/>
    </w:pPr>
    <w:rPr>
      <w:rFonts w:ascii="宋体" w:hAnsi="宋体"/>
      <w:color w:val="000000"/>
      <w:szCs w:val="24"/>
    </w:rPr>
  </w:style>
  <w:style w:type="paragraph" w:customStyle="1" w:styleId="97">
    <w:name w:val="表内文字-海岛版"/>
    <w:basedOn w:val="50"/>
    <w:qFormat/>
    <w:uiPriority w:val="99"/>
    <w:pPr>
      <w:spacing w:line="280" w:lineRule="exact"/>
    </w:pPr>
  </w:style>
  <w:style w:type="paragraph" w:customStyle="1" w:styleId="98">
    <w:name w:val="xl63"/>
    <w:basedOn w:val="1"/>
    <w:qFormat/>
    <w:uiPriority w:val="99"/>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99">
    <w:name w:val="xl64"/>
    <w:basedOn w:val="1"/>
    <w:qFormat/>
    <w:uiPriority w:val="99"/>
    <w:pPr>
      <w:widowControl/>
      <w:spacing w:before="100" w:beforeAutospacing="1" w:after="100" w:afterAutospacing="1" w:line="240" w:lineRule="auto"/>
      <w:ind w:firstLine="0" w:firstLineChars="0"/>
      <w:jc w:val="center"/>
      <w:textAlignment w:val="center"/>
    </w:pPr>
    <w:rPr>
      <w:rFonts w:ascii="宋体" w:hAnsi="宋体" w:eastAsia="宋体" w:cs="宋体"/>
      <w:kern w:val="0"/>
      <w:sz w:val="24"/>
    </w:rPr>
  </w:style>
  <w:style w:type="paragraph" w:customStyle="1" w:styleId="100">
    <w:name w:val="样式5-最末级别标题-海岛版"/>
    <w:basedOn w:val="1"/>
    <w:link w:val="159"/>
    <w:qFormat/>
    <w:uiPriority w:val="99"/>
    <w:pPr>
      <w:ind w:firstLine="643"/>
    </w:pPr>
    <w:rPr>
      <w:b/>
    </w:rPr>
  </w:style>
  <w:style w:type="paragraph" w:customStyle="1" w:styleId="101">
    <w:name w:val="msonormal"/>
    <w:basedOn w:val="1"/>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102">
    <w:name w:val="font6"/>
    <w:basedOn w:val="1"/>
    <w:qFormat/>
    <w:uiPriority w:val="99"/>
    <w:pPr>
      <w:widowControl/>
      <w:spacing w:before="100" w:beforeAutospacing="1" w:after="100" w:afterAutospacing="1" w:line="240" w:lineRule="auto"/>
      <w:ind w:firstLine="0" w:firstLineChars="0"/>
      <w:jc w:val="left"/>
    </w:pPr>
    <w:rPr>
      <w:rFonts w:ascii="DengXian" w:hAnsi="DengXian" w:eastAsia="DengXian" w:cs="宋体"/>
      <w:kern w:val="0"/>
      <w:sz w:val="18"/>
      <w:szCs w:val="18"/>
    </w:rPr>
  </w:style>
  <w:style w:type="paragraph" w:customStyle="1" w:styleId="103">
    <w:name w:val="font7"/>
    <w:basedOn w:val="1"/>
    <w:qFormat/>
    <w:uiPriority w:val="99"/>
    <w:pPr>
      <w:widowControl/>
      <w:spacing w:before="100" w:beforeAutospacing="1" w:after="100" w:afterAutospacing="1" w:line="240" w:lineRule="auto"/>
      <w:ind w:firstLine="0" w:firstLineChars="0"/>
      <w:jc w:val="left"/>
    </w:pPr>
    <w:rPr>
      <w:rFonts w:eastAsia="宋体"/>
      <w:color w:val="000000"/>
      <w:kern w:val="0"/>
      <w:sz w:val="24"/>
    </w:rPr>
  </w:style>
  <w:style w:type="paragraph" w:customStyle="1" w:styleId="104">
    <w:name w:val="xl73"/>
    <w:basedOn w:val="1"/>
    <w:qFormat/>
    <w:uiPriority w:val="99"/>
    <w:pPr>
      <w:widowControl/>
      <w:pBdr>
        <w:top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4"/>
    </w:rPr>
  </w:style>
  <w:style w:type="paragraph" w:customStyle="1" w:styleId="105">
    <w:name w:val="xl74"/>
    <w:basedOn w:val="1"/>
    <w:qFormat/>
    <w:uiPriority w:val="99"/>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4"/>
    </w:rPr>
  </w:style>
  <w:style w:type="paragraph" w:customStyle="1" w:styleId="106">
    <w:name w:val="xl75"/>
    <w:basedOn w:val="1"/>
    <w:qFormat/>
    <w:uiPriority w:val="99"/>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4"/>
    </w:rPr>
  </w:style>
  <w:style w:type="paragraph" w:customStyle="1" w:styleId="107">
    <w:name w:val="xl76"/>
    <w:basedOn w:val="1"/>
    <w:qFormat/>
    <w:uiPriority w:val="99"/>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4"/>
    </w:rPr>
  </w:style>
  <w:style w:type="paragraph" w:customStyle="1" w:styleId="108">
    <w:name w:val="xl77"/>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09">
    <w:name w:val="xl78"/>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eastAsia="宋体"/>
      <w:b/>
      <w:bCs/>
      <w:kern w:val="0"/>
      <w:sz w:val="24"/>
    </w:rPr>
  </w:style>
  <w:style w:type="paragraph" w:customStyle="1" w:styleId="110">
    <w:name w:val="xl79"/>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kern w:val="0"/>
      <w:sz w:val="24"/>
    </w:rPr>
  </w:style>
  <w:style w:type="paragraph" w:customStyle="1" w:styleId="111">
    <w:name w:val="xl80"/>
    <w:basedOn w:val="1"/>
    <w:qFormat/>
    <w:uiPriority w:val="99"/>
    <w:pPr>
      <w:widowControl/>
      <w:spacing w:before="100" w:beforeAutospacing="1" w:after="100" w:afterAutospacing="1" w:line="240" w:lineRule="auto"/>
      <w:ind w:firstLine="0" w:firstLineChars="0"/>
      <w:jc w:val="center"/>
    </w:pPr>
    <w:rPr>
      <w:rFonts w:ascii="宋体" w:hAnsi="宋体" w:eastAsia="宋体" w:cs="宋体"/>
      <w:kern w:val="0"/>
      <w:sz w:val="24"/>
    </w:rPr>
  </w:style>
  <w:style w:type="paragraph" w:customStyle="1" w:styleId="112">
    <w:name w:val="xl81"/>
    <w:basedOn w:val="1"/>
    <w:qFormat/>
    <w:uiPriority w:val="99"/>
    <w:pPr>
      <w:widowControl/>
      <w:pBdr>
        <w:bottom w:val="single" w:color="auto" w:sz="8" w:space="0"/>
      </w:pBdr>
      <w:spacing w:before="100" w:beforeAutospacing="1" w:after="100" w:afterAutospacing="1" w:line="240" w:lineRule="auto"/>
      <w:ind w:firstLine="0" w:firstLineChars="0"/>
      <w:jc w:val="left"/>
    </w:pPr>
    <w:rPr>
      <w:rFonts w:eastAsia="宋体"/>
      <w:kern w:val="0"/>
      <w:sz w:val="20"/>
      <w:szCs w:val="20"/>
    </w:rPr>
  </w:style>
  <w:style w:type="paragraph" w:customStyle="1" w:styleId="113">
    <w:name w:val="xl82"/>
    <w:basedOn w:val="1"/>
    <w:qFormat/>
    <w:uiPriority w:val="99"/>
    <w:pPr>
      <w:widowControl/>
      <w:pBdr>
        <w:bottom w:val="single" w:color="auto" w:sz="8" w:space="0"/>
      </w:pBdr>
      <w:spacing w:before="100" w:beforeAutospacing="1" w:after="100" w:afterAutospacing="1" w:line="240" w:lineRule="auto"/>
      <w:ind w:firstLine="0" w:firstLineChars="0"/>
      <w:jc w:val="left"/>
      <w:textAlignment w:val="top"/>
    </w:pPr>
    <w:rPr>
      <w:rFonts w:eastAsia="宋体"/>
      <w:kern w:val="0"/>
      <w:sz w:val="20"/>
      <w:szCs w:val="20"/>
    </w:rPr>
  </w:style>
  <w:style w:type="paragraph" w:customStyle="1" w:styleId="114">
    <w:name w:val="xl83"/>
    <w:basedOn w:val="1"/>
    <w:qFormat/>
    <w:uiPriority w:val="99"/>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color w:val="000000"/>
      <w:kern w:val="0"/>
      <w:sz w:val="24"/>
    </w:rPr>
  </w:style>
  <w:style w:type="paragraph" w:customStyle="1" w:styleId="115">
    <w:name w:val="xl84"/>
    <w:basedOn w:val="1"/>
    <w:qFormat/>
    <w:uiPriority w:val="99"/>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color w:val="000000"/>
      <w:kern w:val="0"/>
      <w:sz w:val="24"/>
    </w:rPr>
  </w:style>
  <w:style w:type="paragraph" w:customStyle="1" w:styleId="116">
    <w:name w:val="xl85"/>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_GB2312" w:hAnsi="宋体" w:eastAsia="仿宋_GB2312" w:cs="宋体"/>
      <w:b/>
      <w:bCs/>
      <w:kern w:val="0"/>
      <w:sz w:val="28"/>
      <w:szCs w:val="28"/>
    </w:rPr>
  </w:style>
  <w:style w:type="paragraph" w:customStyle="1" w:styleId="117">
    <w:name w:val="xl86"/>
    <w:basedOn w:val="1"/>
    <w:qFormat/>
    <w:uiPriority w:val="99"/>
    <w:pPr>
      <w:widowControl/>
      <w:pBdr>
        <w:top w:val="single" w:color="auto" w:sz="8" w:space="0"/>
        <w:bottom w:val="single" w:color="auto" w:sz="8" w:space="0"/>
      </w:pBdr>
      <w:spacing w:before="100" w:beforeAutospacing="1" w:after="100" w:afterAutospacing="1" w:line="240" w:lineRule="auto"/>
      <w:ind w:firstLine="0" w:firstLineChars="0"/>
      <w:jc w:val="center"/>
    </w:pPr>
    <w:rPr>
      <w:rFonts w:ascii="仿宋_GB2312" w:hAnsi="宋体" w:eastAsia="仿宋_GB2312" w:cs="宋体"/>
      <w:b/>
      <w:bCs/>
      <w:kern w:val="0"/>
      <w:sz w:val="28"/>
      <w:szCs w:val="28"/>
    </w:rPr>
  </w:style>
  <w:style w:type="paragraph" w:customStyle="1" w:styleId="118">
    <w:name w:val="xl87"/>
    <w:basedOn w:val="1"/>
    <w:qFormat/>
    <w:uiPriority w:val="99"/>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仿宋_GB2312" w:hAnsi="宋体" w:eastAsia="仿宋_GB2312" w:cs="宋体"/>
      <w:b/>
      <w:bCs/>
      <w:kern w:val="0"/>
      <w:sz w:val="28"/>
      <w:szCs w:val="28"/>
    </w:rPr>
  </w:style>
  <w:style w:type="paragraph" w:customStyle="1" w:styleId="119">
    <w:name w:val="xl88"/>
    <w:basedOn w:val="1"/>
    <w:qFormat/>
    <w:uiPriority w:val="99"/>
    <w:pPr>
      <w:widowControl/>
      <w:pBdr>
        <w:bottom w:val="single" w:color="auto" w:sz="8" w:space="0"/>
      </w:pBdr>
      <w:spacing w:before="100" w:beforeAutospacing="1" w:after="100" w:afterAutospacing="1" w:line="240" w:lineRule="auto"/>
      <w:ind w:firstLine="0" w:firstLineChars="0"/>
      <w:jc w:val="center"/>
    </w:pPr>
    <w:rPr>
      <w:rFonts w:ascii="仿宋_GB2312" w:hAnsi="宋体" w:eastAsia="仿宋_GB2312" w:cs="宋体"/>
      <w:b/>
      <w:bCs/>
      <w:kern w:val="0"/>
      <w:sz w:val="28"/>
      <w:szCs w:val="28"/>
    </w:rPr>
  </w:style>
  <w:style w:type="paragraph" w:customStyle="1" w:styleId="120">
    <w:name w:val="xl89"/>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eastAsia="宋体" w:cs="宋体"/>
      <w:b/>
      <w:bCs/>
      <w:color w:val="000000"/>
      <w:kern w:val="0"/>
      <w:sz w:val="24"/>
    </w:rPr>
  </w:style>
  <w:style w:type="paragraph" w:customStyle="1" w:styleId="121">
    <w:name w:val="xl90"/>
    <w:basedOn w:val="1"/>
    <w:qFormat/>
    <w:uiPriority w:val="99"/>
    <w:pPr>
      <w:widowControl/>
      <w:pBdr>
        <w:top w:val="single" w:color="auto" w:sz="8" w:space="0"/>
        <w:bottom w:val="single" w:color="auto" w:sz="8" w:space="0"/>
      </w:pBdr>
      <w:spacing w:before="100" w:beforeAutospacing="1" w:after="100" w:afterAutospacing="1" w:line="240" w:lineRule="auto"/>
      <w:ind w:firstLine="0" w:firstLineChars="0"/>
      <w:jc w:val="center"/>
    </w:pPr>
    <w:rPr>
      <w:rFonts w:eastAsia="宋体"/>
      <w:b/>
      <w:bCs/>
      <w:kern w:val="0"/>
      <w:sz w:val="24"/>
    </w:rPr>
  </w:style>
  <w:style w:type="paragraph" w:customStyle="1" w:styleId="122">
    <w:name w:val="xl91"/>
    <w:basedOn w:val="1"/>
    <w:qFormat/>
    <w:uiPriority w:val="99"/>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eastAsia="宋体"/>
      <w:kern w:val="0"/>
      <w:sz w:val="20"/>
      <w:szCs w:val="20"/>
    </w:rPr>
  </w:style>
  <w:style w:type="paragraph" w:customStyle="1" w:styleId="123">
    <w:name w:val="xl92"/>
    <w:basedOn w:val="1"/>
    <w:qFormat/>
    <w:uiPriority w:val="99"/>
    <w:pPr>
      <w:widowControl/>
      <w:pBdr>
        <w:top w:val="single" w:color="auto" w:sz="8" w:space="0"/>
        <w:bottom w:val="single" w:color="auto" w:sz="8" w:space="0"/>
      </w:pBdr>
      <w:spacing w:before="100" w:beforeAutospacing="1" w:after="100" w:afterAutospacing="1" w:line="240" w:lineRule="auto"/>
      <w:ind w:firstLine="0" w:firstLineChars="0"/>
      <w:jc w:val="left"/>
    </w:pPr>
    <w:rPr>
      <w:rFonts w:eastAsia="宋体"/>
      <w:kern w:val="0"/>
      <w:sz w:val="20"/>
      <w:szCs w:val="20"/>
    </w:rPr>
  </w:style>
  <w:style w:type="paragraph" w:customStyle="1" w:styleId="124">
    <w:name w:val="xl93"/>
    <w:basedOn w:val="1"/>
    <w:qFormat/>
    <w:uiPriority w:val="99"/>
    <w:pPr>
      <w:widowControl/>
      <w:pBdr>
        <w:bottom w:val="single" w:color="auto" w:sz="8" w:space="0"/>
        <w:right w:val="single" w:color="auto" w:sz="8" w:space="0"/>
      </w:pBdr>
      <w:spacing w:before="100" w:beforeAutospacing="1" w:after="100" w:afterAutospacing="1" w:line="240" w:lineRule="auto"/>
      <w:ind w:firstLine="0" w:firstLineChars="0"/>
      <w:jc w:val="left"/>
      <w:textAlignment w:val="top"/>
    </w:pPr>
    <w:rPr>
      <w:rFonts w:eastAsia="宋体"/>
      <w:kern w:val="0"/>
      <w:sz w:val="20"/>
      <w:szCs w:val="20"/>
    </w:rPr>
  </w:style>
  <w:style w:type="character" w:customStyle="1" w:styleId="125">
    <w:name w:val="标题 1 Char"/>
    <w:link w:val="2"/>
    <w:qFormat/>
    <w:locked/>
    <w:uiPriority w:val="99"/>
    <w:rPr>
      <w:rFonts w:eastAsia="黑体" w:cs="Times New Roman"/>
      <w:b/>
      <w:bCs/>
      <w:kern w:val="2"/>
      <w:sz w:val="36"/>
      <w:szCs w:val="36"/>
    </w:rPr>
  </w:style>
  <w:style w:type="character" w:customStyle="1" w:styleId="126">
    <w:name w:val="标题 2 Char"/>
    <w:link w:val="3"/>
    <w:qFormat/>
    <w:locked/>
    <w:uiPriority w:val="99"/>
    <w:rPr>
      <w:rFonts w:ascii="Arial" w:hAnsi="Arial" w:eastAsia="黑体" w:cs="Arial"/>
      <w:b/>
      <w:bCs/>
      <w:color w:val="0D0D0D"/>
      <w:kern w:val="2"/>
      <w:sz w:val="32"/>
      <w:szCs w:val="32"/>
    </w:rPr>
  </w:style>
  <w:style w:type="character" w:customStyle="1" w:styleId="127">
    <w:name w:val="标题 3 Char"/>
    <w:link w:val="4"/>
    <w:qFormat/>
    <w:locked/>
    <w:uiPriority w:val="0"/>
    <w:rPr>
      <w:rFonts w:ascii="楷体" w:eastAsia="楷体" w:cs="宋体"/>
      <w:b/>
      <w:bCs/>
      <w:kern w:val="2"/>
      <w:sz w:val="36"/>
      <w:szCs w:val="30"/>
    </w:rPr>
  </w:style>
  <w:style w:type="character" w:customStyle="1" w:styleId="128">
    <w:name w:val="标题 4 Char"/>
    <w:link w:val="5"/>
    <w:qFormat/>
    <w:locked/>
    <w:uiPriority w:val="99"/>
    <w:rPr>
      <w:rFonts w:ascii="宋体" w:hAnsi="宋体" w:eastAsia="仿宋" w:cs="宋体"/>
      <w:b/>
      <w:bCs/>
      <w:kern w:val="2"/>
      <w:sz w:val="28"/>
      <w:szCs w:val="28"/>
    </w:rPr>
  </w:style>
  <w:style w:type="character" w:customStyle="1" w:styleId="129">
    <w:name w:val="标题 5 Char"/>
    <w:link w:val="6"/>
    <w:qFormat/>
    <w:locked/>
    <w:uiPriority w:val="99"/>
    <w:rPr>
      <w:rFonts w:eastAsia="黑体" w:cs="Times New Roman"/>
      <w:bCs/>
      <w:kern w:val="2"/>
      <w:sz w:val="24"/>
      <w:szCs w:val="24"/>
    </w:rPr>
  </w:style>
  <w:style w:type="character" w:customStyle="1" w:styleId="130">
    <w:name w:val="标题 6 Char"/>
    <w:link w:val="7"/>
    <w:qFormat/>
    <w:locked/>
    <w:uiPriority w:val="99"/>
    <w:rPr>
      <w:rFonts w:ascii="Arial" w:hAnsi="Arial" w:eastAsia="仿宋" w:cs="宋体"/>
      <w:b/>
      <w:bCs/>
      <w:kern w:val="2"/>
      <w:sz w:val="24"/>
      <w:szCs w:val="24"/>
    </w:rPr>
  </w:style>
  <w:style w:type="character" w:customStyle="1" w:styleId="131">
    <w:name w:val="页眉 Char"/>
    <w:link w:val="19"/>
    <w:qFormat/>
    <w:locked/>
    <w:uiPriority w:val="99"/>
    <w:rPr>
      <w:rFonts w:ascii="黑体" w:hAnsi="华文仿宋" w:eastAsia="黑体" w:cs="黑体"/>
      <w:b/>
      <w:bCs/>
      <w:kern w:val="2"/>
      <w:sz w:val="18"/>
      <w:szCs w:val="18"/>
    </w:rPr>
  </w:style>
  <w:style w:type="character" w:customStyle="1" w:styleId="132">
    <w:name w:val="脚注文本 Char"/>
    <w:link w:val="22"/>
    <w:semiHidden/>
    <w:qFormat/>
    <w:locked/>
    <w:uiPriority w:val="99"/>
    <w:rPr>
      <w:rFonts w:eastAsia="仿宋" w:cs="Times New Roman"/>
      <w:kern w:val="2"/>
      <w:sz w:val="18"/>
      <w:szCs w:val="18"/>
    </w:rPr>
  </w:style>
  <w:style w:type="character" w:customStyle="1" w:styleId="133">
    <w:name w:val="正文 1 Char"/>
    <w:link w:val="37"/>
    <w:qFormat/>
    <w:locked/>
    <w:uiPriority w:val="99"/>
    <w:rPr>
      <w:rFonts w:eastAsia="仿宋" w:cs="宋体"/>
      <w:kern w:val="2"/>
      <w:sz w:val="32"/>
    </w:rPr>
  </w:style>
  <w:style w:type="character" w:customStyle="1" w:styleId="134">
    <w:name w:val="文档结构图 Char"/>
    <w:link w:val="12"/>
    <w:semiHidden/>
    <w:qFormat/>
    <w:locked/>
    <w:uiPriority w:val="99"/>
    <w:rPr>
      <w:rFonts w:eastAsia="仿宋" w:cs="Times New Roman"/>
      <w:kern w:val="2"/>
      <w:sz w:val="24"/>
      <w:szCs w:val="24"/>
    </w:rPr>
  </w:style>
  <w:style w:type="character" w:customStyle="1" w:styleId="135">
    <w:name w:val="图表标题 Char"/>
    <w:link w:val="39"/>
    <w:qFormat/>
    <w:locked/>
    <w:uiPriority w:val="99"/>
    <w:rPr>
      <w:rFonts w:eastAsia="黑体" w:cs="Times New Roman"/>
      <w:b/>
      <w:kern w:val="2"/>
      <w:sz w:val="21"/>
      <w:lang w:val="en-US" w:eastAsia="zh-CN" w:bidi="ar-SA"/>
    </w:rPr>
  </w:style>
  <w:style w:type="character" w:customStyle="1" w:styleId="136">
    <w:name w:val="批注框文本 Char"/>
    <w:link w:val="17"/>
    <w:semiHidden/>
    <w:qFormat/>
    <w:locked/>
    <w:uiPriority w:val="99"/>
    <w:rPr>
      <w:rFonts w:eastAsia="仿宋" w:cs="Times New Roman"/>
      <w:kern w:val="2"/>
      <w:sz w:val="18"/>
      <w:szCs w:val="18"/>
    </w:rPr>
  </w:style>
  <w:style w:type="character" w:customStyle="1" w:styleId="137">
    <w:name w:val="图表名称 Char"/>
    <w:link w:val="45"/>
    <w:qFormat/>
    <w:locked/>
    <w:uiPriority w:val="99"/>
    <w:rPr>
      <w:rFonts w:ascii="黑体" w:hAnsi="Arial" w:eastAsia="黑体"/>
      <w:b/>
      <w:kern w:val="2"/>
      <w:sz w:val="21"/>
      <w:lang w:val="en-US" w:eastAsia="zh-CN"/>
    </w:rPr>
  </w:style>
  <w:style w:type="character" w:customStyle="1" w:styleId="138">
    <w:name w:val="样式1 Char"/>
    <w:link w:val="46"/>
    <w:qFormat/>
    <w:locked/>
    <w:uiPriority w:val="99"/>
    <w:rPr>
      <w:rFonts w:eastAsia="仿宋" w:cs="宋体"/>
      <w:bCs/>
      <w:kern w:val="2"/>
      <w:sz w:val="24"/>
      <w:szCs w:val="24"/>
    </w:rPr>
  </w:style>
  <w:style w:type="character" w:customStyle="1" w:styleId="139">
    <w:name w:val="标题 Char"/>
    <w:link w:val="27"/>
    <w:qFormat/>
    <w:locked/>
    <w:uiPriority w:val="99"/>
    <w:rPr>
      <w:rFonts w:ascii="Cambria" w:hAnsi="Cambria" w:cs="Times New Roman"/>
      <w:b/>
      <w:bCs/>
      <w:kern w:val="2"/>
      <w:sz w:val="32"/>
      <w:szCs w:val="32"/>
    </w:rPr>
  </w:style>
  <w:style w:type="character" w:customStyle="1" w:styleId="140">
    <w:name w:val="前言"/>
    <w:qFormat/>
    <w:uiPriority w:val="99"/>
    <w:rPr>
      <w:rFonts w:ascii="黑体" w:hAnsi="黑体" w:eastAsia="黑体" w:cs="Times New Roman"/>
      <w:b/>
      <w:bCs/>
      <w:sz w:val="36"/>
    </w:rPr>
  </w:style>
  <w:style w:type="character" w:customStyle="1" w:styleId="141">
    <w:name w:val="正文 1 Char Char"/>
    <w:qFormat/>
    <w:uiPriority w:val="99"/>
    <w:rPr>
      <w:rFonts w:eastAsia="宋体" w:cs="宋体"/>
      <w:kern w:val="2"/>
      <w:sz w:val="24"/>
      <w:lang w:val="en-US" w:eastAsia="zh-CN" w:bidi="ar-SA"/>
    </w:rPr>
  </w:style>
  <w:style w:type="character" w:customStyle="1" w:styleId="142">
    <w:name w:val="（初稿）"/>
    <w:qFormat/>
    <w:uiPriority w:val="99"/>
    <w:rPr>
      <w:rFonts w:ascii="华文中宋" w:hAnsi="华文中宋" w:eastAsia="华文中宋" w:cs="Times New Roman"/>
      <w:b/>
      <w:bCs/>
      <w:kern w:val="0"/>
      <w:sz w:val="44"/>
    </w:rPr>
  </w:style>
  <w:style w:type="character" w:customStyle="1" w:styleId="143">
    <w:name w:val="封面日期"/>
    <w:qFormat/>
    <w:uiPriority w:val="99"/>
    <w:rPr>
      <w:rFonts w:ascii="华文中宋" w:hAnsi="华文中宋" w:eastAsia="华文中宋" w:cs="Times New Roman"/>
      <w:b/>
      <w:bCs/>
    </w:rPr>
  </w:style>
  <w:style w:type="character" w:customStyle="1" w:styleId="144">
    <w:name w:val="批注文字 Char"/>
    <w:link w:val="9"/>
    <w:semiHidden/>
    <w:qFormat/>
    <w:locked/>
    <w:uiPriority w:val="99"/>
    <w:rPr>
      <w:rFonts w:cs="Times New Roman"/>
      <w:kern w:val="2"/>
      <w:sz w:val="24"/>
      <w:szCs w:val="24"/>
    </w:rPr>
  </w:style>
  <w:style w:type="character" w:customStyle="1" w:styleId="145">
    <w:name w:val="批注主题 Char"/>
    <w:link w:val="8"/>
    <w:semiHidden/>
    <w:qFormat/>
    <w:locked/>
    <w:uiPriority w:val="99"/>
    <w:rPr>
      <w:rFonts w:cs="Times New Roman"/>
      <w:b/>
      <w:bCs/>
      <w:kern w:val="2"/>
      <w:sz w:val="24"/>
      <w:szCs w:val="24"/>
    </w:rPr>
  </w:style>
  <w:style w:type="character" w:customStyle="1" w:styleId="146">
    <w:name w:val="表格名称字体-海岛版"/>
    <w:qFormat/>
    <w:uiPriority w:val="99"/>
    <w:rPr>
      <w:rFonts w:ascii="仿宋_GB2312" w:hAnsi="仿宋_GB2312" w:eastAsia="宋体" w:cs="宋体"/>
      <w:b/>
      <w:bCs/>
      <w:kern w:val="2"/>
      <w:sz w:val="28"/>
    </w:rPr>
  </w:style>
  <w:style w:type="character" w:customStyle="1" w:styleId="147">
    <w:name w:val="尾注文本 Char"/>
    <w:link w:val="16"/>
    <w:semiHidden/>
    <w:qFormat/>
    <w:locked/>
    <w:uiPriority w:val="99"/>
    <w:rPr>
      <w:rFonts w:eastAsia="仿宋" w:cs="Times New Roman"/>
      <w:kern w:val="2"/>
      <w:sz w:val="24"/>
      <w:szCs w:val="24"/>
    </w:rPr>
  </w:style>
  <w:style w:type="character" w:customStyle="1" w:styleId="148">
    <w:name w:val="样式 标题 4chapter 4Heading 4 Char Char Char + 非加粗 Char"/>
    <w:link w:val="89"/>
    <w:qFormat/>
    <w:locked/>
    <w:uiPriority w:val="99"/>
    <w:rPr>
      <w:rFonts w:ascii="宋体" w:hAnsi="宋体" w:eastAsia="仿宋" w:cs="宋体"/>
      <w:b/>
      <w:bCs/>
      <w:kern w:val="2"/>
      <w:sz w:val="28"/>
      <w:szCs w:val="28"/>
    </w:rPr>
  </w:style>
  <w:style w:type="character" w:customStyle="1" w:styleId="149">
    <w:name w:val="样式4 Char"/>
    <w:link w:val="91"/>
    <w:qFormat/>
    <w:locked/>
    <w:uiPriority w:val="0"/>
    <w:rPr>
      <w:rFonts w:ascii="宋体" w:hAnsi="宋体" w:eastAsia="仿宋" w:cs="宋体"/>
      <w:b/>
      <w:bCs/>
      <w:kern w:val="2"/>
      <w:sz w:val="28"/>
      <w:szCs w:val="28"/>
      <w:lang w:val="en-US" w:eastAsia="zh-CN" w:bidi="ar-SA"/>
    </w:rPr>
  </w:style>
  <w:style w:type="character" w:customStyle="1" w:styleId="150">
    <w:name w:val="样式5-表格注释-海岛版 Char"/>
    <w:link w:val="92"/>
    <w:qFormat/>
    <w:locked/>
    <w:uiPriority w:val="99"/>
    <w:rPr>
      <w:rFonts w:eastAsia="仿宋" w:cs="Times New Roman"/>
      <w:kern w:val="2"/>
      <w:sz w:val="24"/>
      <w:szCs w:val="24"/>
    </w:rPr>
  </w:style>
  <w:style w:type="character" w:customStyle="1" w:styleId="151">
    <w:name w:val="样式 标题 2标题 2 Char Char Char Char标题 2 Char Char1 Charchapter 2...1 Char"/>
    <w:link w:val="88"/>
    <w:qFormat/>
    <w:locked/>
    <w:uiPriority w:val="99"/>
    <w:rPr>
      <w:rFonts w:ascii="Arial" w:hAnsi="Arial" w:eastAsia="黑体" w:cs="Arial"/>
      <w:b/>
      <w:bCs/>
      <w:color w:val="0D0D0D"/>
      <w:kern w:val="2"/>
      <w:sz w:val="32"/>
      <w:szCs w:val="32"/>
    </w:rPr>
  </w:style>
  <w:style w:type="character" w:customStyle="1" w:styleId="152">
    <w:name w:val="附表标题样式-海岛版 Char"/>
    <w:link w:val="93"/>
    <w:qFormat/>
    <w:locked/>
    <w:uiPriority w:val="99"/>
    <w:rPr>
      <w:rFonts w:ascii="Arial" w:hAnsi="Arial" w:eastAsia="宋体" w:cs="Arial"/>
      <w:b/>
      <w:bCs/>
      <w:color w:val="0D0D0D"/>
      <w:kern w:val="2"/>
      <w:sz w:val="32"/>
      <w:szCs w:val="32"/>
    </w:rPr>
  </w:style>
  <w:style w:type="character" w:customStyle="1" w:styleId="153">
    <w:name w:val="表内文字 Char"/>
    <w:link w:val="44"/>
    <w:qFormat/>
    <w:locked/>
    <w:uiPriority w:val="99"/>
    <w:rPr>
      <w:rFonts w:eastAsia="宋体" w:cs="宋体"/>
      <w:kern w:val="2"/>
      <w:sz w:val="21"/>
    </w:rPr>
  </w:style>
  <w:style w:type="character" w:customStyle="1" w:styleId="154">
    <w:name w:val="样式 样式 表内文字 + 段前: 15.9 磅 段后: 15.9 磅3 + 段前: 15.9 磅 段后: 15.9 磅1 Char"/>
    <w:link w:val="50"/>
    <w:qFormat/>
    <w:locked/>
    <w:uiPriority w:val="99"/>
    <w:rPr>
      <w:rFonts w:eastAsia="宋体" w:cs="宋体"/>
      <w:kern w:val="2"/>
      <w:sz w:val="21"/>
    </w:rPr>
  </w:style>
  <w:style w:type="character" w:customStyle="1" w:styleId="155">
    <w:name w:val="！！表内文字-海岛版-小四 Char"/>
    <w:link w:val="49"/>
    <w:qFormat/>
    <w:locked/>
    <w:uiPriority w:val="99"/>
    <w:rPr>
      <w:rFonts w:eastAsia="宋体" w:cs="宋体"/>
      <w:kern w:val="2"/>
      <w:sz w:val="21"/>
    </w:rPr>
  </w:style>
  <w:style w:type="character" w:customStyle="1" w:styleId="156">
    <w:name w:val="表内文字海岛版-小四 Char"/>
    <w:link w:val="95"/>
    <w:qFormat/>
    <w:locked/>
    <w:uiPriority w:val="99"/>
    <w:rPr>
      <w:rFonts w:eastAsia="宋体" w:cs="宋体"/>
      <w:kern w:val="2"/>
      <w:sz w:val="24"/>
    </w:rPr>
  </w:style>
  <w:style w:type="character" w:customStyle="1" w:styleId="157">
    <w:name w:val="表头字体 -海岛版 Char"/>
    <w:link w:val="70"/>
    <w:qFormat/>
    <w:locked/>
    <w:uiPriority w:val="99"/>
    <w:rPr>
      <w:rFonts w:ascii="仿宋" w:hAnsi="仿宋" w:eastAsia="宋体" w:cs="宋体"/>
      <w:b/>
      <w:bCs/>
      <w:kern w:val="2"/>
      <w:sz w:val="24"/>
    </w:rPr>
  </w:style>
  <w:style w:type="character" w:customStyle="1" w:styleId="158">
    <w:name w:val="表格及图片标题名称字体 Char"/>
    <w:link w:val="96"/>
    <w:qFormat/>
    <w:locked/>
    <w:uiPriority w:val="99"/>
    <w:rPr>
      <w:rFonts w:ascii="宋体" w:hAnsi="宋体" w:eastAsia="宋体" w:cs="宋体"/>
      <w:b/>
      <w:bCs/>
      <w:color w:val="000000"/>
      <w:kern w:val="2"/>
      <w:sz w:val="24"/>
      <w:szCs w:val="24"/>
    </w:rPr>
  </w:style>
  <w:style w:type="character" w:customStyle="1" w:styleId="159">
    <w:name w:val="样式5-最末级别标题-海岛版 Char"/>
    <w:link w:val="100"/>
    <w:qFormat/>
    <w:locked/>
    <w:uiPriority w:val="99"/>
    <w:rPr>
      <w:rFonts w:eastAsia="仿宋" w:cs="Times New Roman"/>
      <w:b/>
      <w:kern w:val="2"/>
      <w:sz w:val="24"/>
      <w:szCs w:val="24"/>
    </w:rPr>
  </w:style>
  <w:style w:type="character" w:customStyle="1" w:styleId="160">
    <w:name w:val="页脚 Char"/>
    <w:link w:val="18"/>
    <w:qFormat/>
    <w:locked/>
    <w:uiPriority w:val="99"/>
    <w:rPr>
      <w:rFonts w:eastAsia="仿宋" w:cs="Times New Roman"/>
      <w:kern w:val="2"/>
      <w:sz w:val="18"/>
      <w:szCs w:val="18"/>
    </w:rPr>
  </w:style>
  <w:style w:type="table" w:customStyle="1" w:styleId="161">
    <w:name w:val="网格型3"/>
    <w:qFormat/>
    <w:uiPriority w:val="99"/>
    <w:pPr>
      <w:widowControl w:val="0"/>
      <w:spacing w:beforeLines="50" w:afterLines="50"/>
      <w:ind w:firstLine="200" w:firstLineChars="20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162">
    <w:name w:val="网格型4"/>
    <w:qFormat/>
    <w:uiPriority w:val="99"/>
    <w:pPr>
      <w:widowControl w:val="0"/>
      <w:spacing w:beforeLines="50" w:afterLines="50"/>
      <w:ind w:firstLine="200" w:firstLineChars="20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163">
    <w:name w:val="网格型5"/>
    <w:qFormat/>
    <w:uiPriority w:val="99"/>
    <w:pPr>
      <w:widowControl w:val="0"/>
      <w:spacing w:beforeLines="50" w:afterLines="50"/>
      <w:ind w:firstLine="200" w:firstLineChars="20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table" w:customStyle="1" w:styleId="164">
    <w:name w:val="网格型1"/>
    <w:qFormat/>
    <w:uiPriority w:val="99"/>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updi808</Company>
  <Pages>89</Pages>
  <Words>41085</Words>
  <Characters>10647</Characters>
  <Lines>88</Lines>
  <Paragraphs>103</Paragraphs>
  <TotalTime>0</TotalTime>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2018-08-27T04:35:00Z</dcterms:created>
  <dc:creator>清华同衡</dc:creator>
  <cp:lastModifiedBy>林思华</cp:lastModifiedBy>
  <cp:lastPrinted>2018-11-02T06:35:00Z</cp:lastPrinted>
  <dcterms:modified xsi:type="dcterms:W3CDTF">2018-11-19T08:44:35Z</dcterms:modified>
  <dc:title>广东省海岛旅游发展总体规划</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